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DC6" w:rsidRPr="00767EDF" w:rsidRDefault="007D2DC6" w:rsidP="00380428">
      <w:pPr>
        <w:rPr>
          <w:b/>
          <w:sz w:val="24"/>
        </w:rPr>
      </w:pPr>
      <w:r w:rsidRPr="00720DCE">
        <w:rPr>
          <w:b/>
          <w:sz w:val="28"/>
          <w:szCs w:val="24"/>
        </w:rPr>
        <w:t>Груп</w:t>
      </w:r>
      <w:r w:rsidR="00F845DC" w:rsidRPr="00720DCE">
        <w:rPr>
          <w:b/>
          <w:sz w:val="28"/>
          <w:szCs w:val="24"/>
        </w:rPr>
        <w:t>и</w:t>
      </w:r>
      <w:r w:rsidRPr="00720DCE">
        <w:rPr>
          <w:b/>
          <w:sz w:val="28"/>
          <w:szCs w:val="24"/>
        </w:rPr>
        <w:t xml:space="preserve"> «</w:t>
      </w:r>
      <w:r w:rsidR="00F845DC" w:rsidRPr="00720DCE">
        <w:rPr>
          <w:b/>
          <w:sz w:val="28"/>
          <w:szCs w:val="24"/>
        </w:rPr>
        <w:t>Регіональний розвиток: кластери, побудова інноваційних екосистем</w:t>
      </w:r>
      <w:r w:rsidR="00F845DC" w:rsidRPr="00720DCE">
        <w:rPr>
          <w:b/>
          <w:sz w:val="32"/>
          <w:szCs w:val="28"/>
        </w:rPr>
        <w:t xml:space="preserve">» </w:t>
      </w:r>
      <w:r w:rsidR="00F845DC">
        <w:rPr>
          <w:b/>
          <w:sz w:val="24"/>
        </w:rPr>
        <w:t>(</w:t>
      </w:r>
      <w:r w:rsidR="00720DCE">
        <w:rPr>
          <w:b/>
          <w:sz w:val="24"/>
        </w:rPr>
        <w:t xml:space="preserve">2 групи </w:t>
      </w:r>
      <w:r w:rsidR="00F845DC">
        <w:rPr>
          <w:b/>
          <w:sz w:val="24"/>
        </w:rPr>
        <w:t xml:space="preserve">по наявним </w:t>
      </w:r>
      <w:r w:rsidR="00720DCE">
        <w:rPr>
          <w:b/>
          <w:sz w:val="24"/>
        </w:rPr>
        <w:t xml:space="preserve">2-м </w:t>
      </w:r>
      <w:r w:rsidR="00F845DC">
        <w:rPr>
          <w:b/>
          <w:sz w:val="24"/>
        </w:rPr>
        <w:t xml:space="preserve">регіонам – Південь, </w:t>
      </w:r>
      <w:r w:rsidR="00720DCE">
        <w:rPr>
          <w:b/>
          <w:sz w:val="24"/>
        </w:rPr>
        <w:t>Центр-Схід</w:t>
      </w:r>
      <w:r w:rsidR="00F845DC">
        <w:rPr>
          <w:b/>
          <w:sz w:val="24"/>
        </w:rPr>
        <w:t>)</w:t>
      </w:r>
    </w:p>
    <w:p w:rsidR="00F845DC" w:rsidRDefault="00F845DC" w:rsidP="00380428">
      <w:r>
        <w:rPr>
          <w:u w:val="single"/>
        </w:rPr>
        <w:t>Загальний контекст:</w:t>
      </w:r>
      <w:r w:rsidRPr="00380428">
        <w:t xml:space="preserve"> </w:t>
      </w:r>
      <w:r>
        <w:t xml:space="preserve">в 2018-19 в АППАУ закладені основи регіональної стартегії Індустрії 4.0. Центри 4.0 відкрились в Києві, Харкові та Одесі. Плануються ще кілька (Запоріжжя, Суми). Також затверджена концепція кластерів ІАМ (Інжиніринг-Автоматизація-Машинобудування). Перший кластер </w:t>
      </w:r>
      <w:r w:rsidR="00EC4BDA">
        <w:t xml:space="preserve">ІАМ </w:t>
      </w:r>
      <w:r>
        <w:t>запускається</w:t>
      </w:r>
      <w:r w:rsidR="00EC4BDA">
        <w:t xml:space="preserve"> в 2020</w:t>
      </w:r>
      <w:r>
        <w:t xml:space="preserve"> в Запоріжжі. Є гарна кластерна ініціатива </w:t>
      </w:r>
      <w:r w:rsidR="00EC4BDA">
        <w:t xml:space="preserve">та передумови </w:t>
      </w:r>
      <w:r>
        <w:t xml:space="preserve">в Миколаєві. </w:t>
      </w:r>
      <w:r w:rsidR="00EC4BDA">
        <w:t xml:space="preserve">Натомість, нерозуміла ситуація в Харкові та Одесі. Але </w:t>
      </w:r>
      <w:r>
        <w:t>всім цим ін</w:t>
      </w:r>
      <w:r w:rsidR="001E3122">
        <w:t>і</w:t>
      </w:r>
      <w:r>
        <w:t>ціативам бракує лідерства, системності та</w:t>
      </w:r>
      <w:r w:rsidR="001E3122">
        <w:t xml:space="preserve">, зрештою, </w:t>
      </w:r>
      <w:r>
        <w:t>фінансування. А спільнотам – швидшого об</w:t>
      </w:r>
      <w:r w:rsidRPr="00F845DC">
        <w:rPr>
          <w:lang w:val="ru-RU"/>
        </w:rPr>
        <w:t>’</w:t>
      </w:r>
      <w:r>
        <w:t>єднання навколо ключових питань розвитку.</w:t>
      </w:r>
    </w:p>
    <w:p w:rsidR="00F845DC" w:rsidRPr="00F845DC" w:rsidRDefault="00F845DC" w:rsidP="00F845DC">
      <w:r>
        <w:rPr>
          <w:u w:val="single"/>
        </w:rPr>
        <w:t xml:space="preserve">Головний виклик: </w:t>
      </w:r>
      <w:r w:rsidRPr="001C3F36">
        <w:rPr>
          <w:b/>
        </w:rPr>
        <w:t xml:space="preserve">як </w:t>
      </w:r>
      <w:r>
        <w:rPr>
          <w:b/>
          <w:lang w:val="ru-RU"/>
        </w:rPr>
        <w:t>швидше об</w:t>
      </w:r>
      <w:r w:rsidRPr="00F845DC">
        <w:rPr>
          <w:b/>
          <w:lang w:val="ru-RU"/>
        </w:rPr>
        <w:t>’</w:t>
      </w:r>
      <w:r>
        <w:rPr>
          <w:b/>
        </w:rPr>
        <w:t>є</w:t>
      </w:r>
      <w:r>
        <w:rPr>
          <w:b/>
          <w:lang w:val="ru-RU"/>
        </w:rPr>
        <w:t>днуватись на рег</w:t>
      </w:r>
      <w:r>
        <w:rPr>
          <w:b/>
        </w:rPr>
        <w:t>іональному рівні навколо спільних цілей</w:t>
      </w:r>
    </w:p>
    <w:p w:rsidR="00F845DC" w:rsidRDefault="00F845DC" w:rsidP="00F845DC">
      <w:pPr>
        <w:rPr>
          <w:u w:val="single"/>
        </w:rPr>
      </w:pPr>
      <w:r>
        <w:rPr>
          <w:u w:val="single"/>
        </w:rPr>
        <w:t>Головні питання для дискусії:</w:t>
      </w:r>
    </w:p>
    <w:p w:rsidR="00F845DC" w:rsidRPr="0048218D" w:rsidRDefault="00F845DC" w:rsidP="00F845DC">
      <w:pPr>
        <w:pStyle w:val="a3"/>
        <w:numPr>
          <w:ilvl w:val="0"/>
          <w:numId w:val="3"/>
        </w:numPr>
      </w:pPr>
      <w:r>
        <w:t>Що заважає Центрам 4.0 ставати справжніми лідерами об</w:t>
      </w:r>
      <w:r w:rsidRPr="00F845DC">
        <w:rPr>
          <w:lang w:val="ru-RU"/>
        </w:rPr>
        <w:t>’</w:t>
      </w:r>
      <w:r>
        <w:t xml:space="preserve">єднавчих процесів на регіональному рівні? Чи є інші актори, хто здатен це зробити? </w:t>
      </w:r>
    </w:p>
    <w:p w:rsidR="00F845DC" w:rsidRDefault="00F845DC" w:rsidP="00F845DC">
      <w:pPr>
        <w:pStyle w:val="a3"/>
        <w:numPr>
          <w:ilvl w:val="0"/>
          <w:numId w:val="3"/>
        </w:numPr>
      </w:pPr>
      <w:r>
        <w:rPr>
          <w:lang w:val="ru-RU"/>
        </w:rPr>
        <w:t>Яким ма</w:t>
      </w:r>
      <w:r>
        <w:t>є бути оптимальний шлях обєднання (послідовність кроків)?</w:t>
      </w:r>
    </w:p>
    <w:p w:rsidR="00F845DC" w:rsidRDefault="00F845DC" w:rsidP="00F845DC">
      <w:pPr>
        <w:pStyle w:val="a3"/>
        <w:numPr>
          <w:ilvl w:val="0"/>
          <w:numId w:val="3"/>
        </w:numPr>
      </w:pPr>
      <w:r>
        <w:t>Як АППАУ може допомогти в цих процесах?</w:t>
      </w:r>
    </w:p>
    <w:p w:rsidR="00F845DC" w:rsidRDefault="00F845DC" w:rsidP="00F845DC">
      <w:r w:rsidRPr="007D336A">
        <w:rPr>
          <w:u w:val="single"/>
        </w:rPr>
        <w:t>Модератор</w:t>
      </w:r>
      <w:r>
        <w:t xml:space="preserve">: </w:t>
      </w:r>
      <w:r w:rsidR="006901DA">
        <w:t>Марина Колісник (ХАІ)</w:t>
      </w:r>
      <w:r w:rsidR="00EC4BDA">
        <w:t>.</w:t>
      </w:r>
    </w:p>
    <w:p w:rsidR="006901DA" w:rsidRPr="00E82E8E" w:rsidRDefault="00E82E8E" w:rsidP="006901DA">
      <w:pPr>
        <w:numPr>
          <w:ilvl w:val="0"/>
          <w:numId w:val="17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b/>
          <w:bCs/>
          <w:color w:val="0070C0"/>
          <w:sz w:val="24"/>
          <w:szCs w:val="24"/>
          <w:lang w:eastAsia="ru-RU"/>
        </w:rPr>
      </w:pPr>
      <w:r w:rsidRPr="00E82E8E">
        <w:rPr>
          <w:rFonts w:eastAsia="Times New Roman" w:cs="Times New Roman"/>
          <w:b/>
          <w:bCs/>
          <w:color w:val="0070C0"/>
          <w:sz w:val="24"/>
          <w:szCs w:val="24"/>
          <w:lang w:eastAsia="ru-RU"/>
        </w:rPr>
        <w:t xml:space="preserve">Що заважає центрам 4.0 бути лідерами на </w:t>
      </w:r>
      <w:r w:rsidR="006901DA" w:rsidRPr="00E82E8E">
        <w:rPr>
          <w:rFonts w:ascii="inherit" w:eastAsia="Times New Roman" w:hAnsi="inherit" w:cs="Times New Roman"/>
          <w:b/>
          <w:bCs/>
          <w:color w:val="0070C0"/>
          <w:sz w:val="24"/>
          <w:szCs w:val="24"/>
          <w:lang w:eastAsia="ru-RU"/>
        </w:rPr>
        <w:t>регіональному рівні? Чи є інші актори, хто здатен це зробити?</w:t>
      </w:r>
    </w:p>
    <w:p w:rsidR="006901DA" w:rsidRPr="00E82E8E" w:rsidRDefault="006901DA" w:rsidP="006901DA">
      <w:p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70C0"/>
          <w:sz w:val="24"/>
          <w:szCs w:val="24"/>
          <w:lang w:eastAsia="ru-RU"/>
        </w:rPr>
      </w:pPr>
    </w:p>
    <w:p w:rsidR="006901DA" w:rsidRPr="00E82E8E" w:rsidRDefault="006901DA" w:rsidP="006901DA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  <w:r w:rsidRPr="00E82E8E">
        <w:rPr>
          <w:rFonts w:eastAsia="Times New Roman" w:cs="Times New Roman"/>
          <w:color w:val="0070C0"/>
          <w:sz w:val="24"/>
          <w:szCs w:val="24"/>
          <w:lang w:eastAsia="ru-RU"/>
        </w:rPr>
        <w:t>Робота ведеться повністю без відриву від основної діяльності (2-3 зміна); можливість кадрової підтримки в умовах зміни формули фінансування ун-тів з боку університету дуже проблемна річ. Вихід: пошук проектів, інвесторів, спонсорів, але…</w:t>
      </w:r>
    </w:p>
    <w:p w:rsidR="006901DA" w:rsidRPr="00E82E8E" w:rsidRDefault="006901DA" w:rsidP="006901DA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  <w:r w:rsidRPr="00E82E8E">
        <w:rPr>
          <w:rFonts w:eastAsia="Times New Roman" w:cs="Times New Roman"/>
          <w:color w:val="0070C0"/>
          <w:sz w:val="24"/>
          <w:szCs w:val="24"/>
          <w:lang w:eastAsia="ru-RU"/>
        </w:rPr>
        <w:t xml:space="preserve">Набуття досвіду, проблемної початкової фази., пошук експертів… </w:t>
      </w:r>
    </w:p>
    <w:p w:rsidR="006901DA" w:rsidRPr="001C300B" w:rsidRDefault="006901DA" w:rsidP="006901DA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  <w:r w:rsidRPr="001C300B">
        <w:rPr>
          <w:rFonts w:eastAsia="Times New Roman" w:cs="Times New Roman"/>
          <w:color w:val="0070C0"/>
          <w:sz w:val="24"/>
          <w:szCs w:val="24"/>
          <w:lang w:eastAsia="ru-RU"/>
        </w:rPr>
        <w:t>Необхідність системного планування за основними напрямами</w:t>
      </w:r>
    </w:p>
    <w:p w:rsidR="006901DA" w:rsidRPr="00E82E8E" w:rsidRDefault="006901DA" w:rsidP="006901DA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  <w:r w:rsidRPr="00E82E8E">
        <w:rPr>
          <w:rFonts w:eastAsia="Times New Roman" w:cs="Times New Roman"/>
          <w:color w:val="0070C0"/>
          <w:sz w:val="24"/>
          <w:szCs w:val="24"/>
          <w:lang w:eastAsia="ru-RU"/>
        </w:rPr>
        <w:t>Якість і складність комунікацій (підприємства працюють за своїми бізнес-моделями)</w:t>
      </w:r>
    </w:p>
    <w:p w:rsidR="006901DA" w:rsidRPr="00E82E8E" w:rsidRDefault="006901DA" w:rsidP="006901DA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  <w:r w:rsidRPr="00E82E8E">
        <w:rPr>
          <w:rFonts w:eastAsia="Times New Roman" w:cs="Times New Roman"/>
          <w:color w:val="0070C0"/>
          <w:sz w:val="24"/>
          <w:szCs w:val="24"/>
          <w:lang w:eastAsia="ru-RU"/>
        </w:rPr>
        <w:t>Академічні партнери</w:t>
      </w:r>
      <w:r w:rsidRPr="00E82E8E">
        <w:rPr>
          <w:rFonts w:eastAsia="Times New Roman" w:cs="Times New Roman"/>
          <w:color w:val="0070C0"/>
          <w:sz w:val="24"/>
          <w:szCs w:val="24"/>
          <w:lang w:val="en-US" w:eastAsia="ru-RU"/>
        </w:rPr>
        <w:t xml:space="preserve"> </w:t>
      </w:r>
    </w:p>
    <w:p w:rsidR="006901DA" w:rsidRPr="00E82E8E" w:rsidRDefault="006901DA" w:rsidP="006901DA">
      <w:pPr>
        <w:shd w:val="clear" w:color="auto" w:fill="FFFFFF"/>
        <w:spacing w:after="0" w:line="240" w:lineRule="auto"/>
        <w:ind w:left="600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  <w:bookmarkStart w:id="0" w:name="_GoBack"/>
      <w:bookmarkEnd w:id="0"/>
      <w:r w:rsidRPr="00E82E8E">
        <w:rPr>
          <w:rFonts w:eastAsia="Times New Roman" w:cs="Times New Roman"/>
          <w:color w:val="0070C0"/>
          <w:sz w:val="24"/>
          <w:szCs w:val="24"/>
          <w:lang w:eastAsia="ru-RU"/>
        </w:rPr>
        <w:t>Інших акторів «безліч» на папері… Здивувалися , як багато за звітом УкрІНТЄІ</w:t>
      </w:r>
    </w:p>
    <w:p w:rsidR="006901DA" w:rsidRPr="00E82E8E" w:rsidRDefault="006901DA" w:rsidP="006901DA">
      <w:pPr>
        <w:shd w:val="clear" w:color="auto" w:fill="FFFFFF"/>
        <w:spacing w:after="0" w:line="240" w:lineRule="auto"/>
        <w:ind w:left="600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  <w:r w:rsidRPr="00E82E8E">
        <w:rPr>
          <w:rFonts w:eastAsia="Times New Roman" w:cs="Times New Roman"/>
          <w:color w:val="0070C0"/>
          <w:sz w:val="24"/>
          <w:szCs w:val="24"/>
          <w:lang w:eastAsia="ru-RU"/>
        </w:rPr>
        <w:t xml:space="preserve">Місцева влада фактично відсторонена поки що…. </w:t>
      </w:r>
    </w:p>
    <w:p w:rsidR="006901DA" w:rsidRPr="00E82E8E" w:rsidRDefault="006901DA" w:rsidP="006901DA">
      <w:pPr>
        <w:shd w:val="clear" w:color="auto" w:fill="FFFFFF"/>
        <w:spacing w:after="0" w:line="240" w:lineRule="auto"/>
        <w:ind w:left="600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</w:p>
    <w:p w:rsidR="006901DA" w:rsidRPr="00E82E8E" w:rsidRDefault="006901DA" w:rsidP="006901DA">
      <w:pPr>
        <w:numPr>
          <w:ilvl w:val="0"/>
          <w:numId w:val="17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b/>
          <w:bCs/>
          <w:color w:val="0070C0"/>
          <w:sz w:val="24"/>
          <w:szCs w:val="24"/>
          <w:lang w:eastAsia="ru-RU"/>
        </w:rPr>
      </w:pPr>
      <w:r w:rsidRPr="00E82E8E">
        <w:rPr>
          <w:rFonts w:ascii="inherit" w:eastAsia="Times New Roman" w:hAnsi="inherit" w:cs="Times New Roman"/>
          <w:b/>
          <w:bCs/>
          <w:color w:val="0070C0"/>
          <w:sz w:val="24"/>
          <w:szCs w:val="24"/>
          <w:lang w:eastAsia="ru-RU"/>
        </w:rPr>
        <w:t>Яким має бути оптимальний шлях об’єднання (послідовність кроків)?</w:t>
      </w:r>
    </w:p>
    <w:p w:rsidR="006901DA" w:rsidRPr="00E82E8E" w:rsidRDefault="006901DA" w:rsidP="006901DA">
      <w:pPr>
        <w:shd w:val="clear" w:color="auto" w:fill="FFFFFF"/>
        <w:spacing w:after="0" w:line="240" w:lineRule="auto"/>
        <w:ind w:left="600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  <w:r w:rsidRPr="00E82E8E">
        <w:rPr>
          <w:rFonts w:eastAsia="Times New Roman" w:cs="Times New Roman"/>
          <w:color w:val="0070C0"/>
          <w:sz w:val="24"/>
          <w:szCs w:val="24"/>
          <w:lang w:eastAsia="ru-RU"/>
        </w:rPr>
        <w:t>Регулярні зустрічі  по конкретних питаннях (семінари, інформування, чай))) )</w:t>
      </w:r>
    </w:p>
    <w:p w:rsidR="006901DA" w:rsidRDefault="006901DA" w:rsidP="006901DA">
      <w:pPr>
        <w:shd w:val="clear" w:color="auto" w:fill="FFFFFF"/>
        <w:spacing w:after="0" w:line="240" w:lineRule="auto"/>
        <w:ind w:left="600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  <w:r w:rsidRPr="00E82E8E">
        <w:rPr>
          <w:rFonts w:eastAsia="Times New Roman" w:cs="Times New Roman"/>
          <w:color w:val="0070C0"/>
          <w:sz w:val="24"/>
          <w:szCs w:val="24"/>
          <w:lang w:eastAsia="ru-RU"/>
        </w:rPr>
        <w:t>«Тиск» конструктивний на владу (через інформування, комунікації, залучення до івентів…</w:t>
      </w:r>
    </w:p>
    <w:p w:rsidR="001C300B" w:rsidRPr="00E82E8E" w:rsidRDefault="001C300B" w:rsidP="006901DA">
      <w:p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70C0"/>
          <w:sz w:val="24"/>
          <w:szCs w:val="24"/>
          <w:lang w:eastAsia="ru-RU"/>
        </w:rPr>
      </w:pPr>
    </w:p>
    <w:p w:rsidR="006901DA" w:rsidRPr="00E82E8E" w:rsidRDefault="006901DA" w:rsidP="006901DA">
      <w:pPr>
        <w:numPr>
          <w:ilvl w:val="0"/>
          <w:numId w:val="17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b/>
          <w:bCs/>
          <w:color w:val="0070C0"/>
          <w:sz w:val="24"/>
          <w:szCs w:val="24"/>
          <w:lang w:eastAsia="ru-RU"/>
        </w:rPr>
      </w:pPr>
      <w:r w:rsidRPr="00E82E8E">
        <w:rPr>
          <w:rFonts w:ascii="inherit" w:eastAsia="Times New Roman" w:hAnsi="inherit" w:cs="Times New Roman"/>
          <w:b/>
          <w:bCs/>
          <w:color w:val="0070C0"/>
          <w:sz w:val="24"/>
          <w:szCs w:val="24"/>
          <w:lang w:eastAsia="ru-RU"/>
        </w:rPr>
        <w:t>Як виконавча дирекція та Правління АППАУ може допомогти в цих процесах?</w:t>
      </w:r>
    </w:p>
    <w:p w:rsidR="006901DA" w:rsidRPr="00E82E8E" w:rsidRDefault="006901DA" w:rsidP="006901DA">
      <w:pPr>
        <w:shd w:val="clear" w:color="auto" w:fill="FFFFFF"/>
        <w:spacing w:after="0" w:line="240" w:lineRule="auto"/>
        <w:ind w:left="600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  <w:r w:rsidRPr="00E82E8E">
        <w:rPr>
          <w:rFonts w:eastAsia="Times New Roman" w:cs="Times New Roman"/>
          <w:color w:val="0070C0"/>
          <w:sz w:val="24"/>
          <w:szCs w:val="24"/>
          <w:lang w:eastAsia="ru-RU"/>
        </w:rPr>
        <w:t>Вплив на владну вертикаль</w:t>
      </w:r>
    </w:p>
    <w:p w:rsidR="006901DA" w:rsidRPr="00E82E8E" w:rsidRDefault="006901DA" w:rsidP="006901DA">
      <w:pPr>
        <w:shd w:val="clear" w:color="auto" w:fill="FFFFFF"/>
        <w:spacing w:after="0" w:line="240" w:lineRule="auto"/>
        <w:ind w:left="600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  <w:r w:rsidRPr="00E82E8E">
        <w:rPr>
          <w:rFonts w:eastAsia="Times New Roman" w:cs="Times New Roman"/>
          <w:color w:val="0070C0"/>
          <w:sz w:val="24"/>
          <w:szCs w:val="24"/>
          <w:lang w:eastAsia="ru-RU"/>
        </w:rPr>
        <w:t>Оподаткування у зво – це дуже важливо</w:t>
      </w:r>
    </w:p>
    <w:p w:rsidR="006901DA" w:rsidRPr="00E82E8E" w:rsidRDefault="006901DA" w:rsidP="006901DA">
      <w:pPr>
        <w:shd w:val="clear" w:color="auto" w:fill="FFFFFF"/>
        <w:spacing w:after="0" w:line="240" w:lineRule="auto"/>
        <w:ind w:left="600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  <w:r w:rsidRPr="00E82E8E">
        <w:rPr>
          <w:rFonts w:eastAsia="Times New Roman" w:cs="Times New Roman"/>
          <w:color w:val="0070C0"/>
          <w:sz w:val="24"/>
          <w:szCs w:val="24"/>
          <w:lang w:eastAsia="ru-RU"/>
        </w:rPr>
        <w:t>Як стати конкурентом ІТ галузі у залученні кадрів (студенти….)</w:t>
      </w:r>
    </w:p>
    <w:p w:rsidR="006901DA" w:rsidRPr="00E82E8E" w:rsidRDefault="006901DA" w:rsidP="006901DA">
      <w:pPr>
        <w:shd w:val="clear" w:color="auto" w:fill="FFFFFF"/>
        <w:spacing w:after="0" w:line="240" w:lineRule="auto"/>
        <w:ind w:left="600"/>
        <w:textAlignment w:val="baseline"/>
        <w:rPr>
          <w:rFonts w:eastAsia="Times New Roman" w:cs="Times New Roman"/>
          <w:color w:val="0070C0"/>
          <w:sz w:val="24"/>
          <w:szCs w:val="24"/>
          <w:lang w:eastAsia="ru-RU"/>
        </w:rPr>
      </w:pPr>
    </w:p>
    <w:p w:rsidR="006901DA" w:rsidRPr="00E82E8E" w:rsidRDefault="006901DA" w:rsidP="006901DA">
      <w:pPr>
        <w:rPr>
          <w:color w:val="0070C0"/>
        </w:rPr>
      </w:pPr>
    </w:p>
    <w:p w:rsidR="00F845DC" w:rsidRPr="00E82E8E" w:rsidRDefault="00F845DC" w:rsidP="00380428">
      <w:pPr>
        <w:rPr>
          <w:color w:val="0070C0"/>
          <w:u w:val="single"/>
        </w:rPr>
      </w:pPr>
    </w:p>
    <w:p w:rsidR="00E82E8E" w:rsidRDefault="00E82E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845DC" w:rsidRPr="00F845DC" w:rsidRDefault="00F845DC" w:rsidP="00380428">
      <w:pPr>
        <w:rPr>
          <w:b/>
          <w:bCs/>
          <w:sz w:val="24"/>
          <w:szCs w:val="24"/>
        </w:rPr>
      </w:pPr>
      <w:r w:rsidRPr="00720DCE">
        <w:rPr>
          <w:b/>
          <w:bCs/>
          <w:sz w:val="28"/>
          <w:szCs w:val="28"/>
        </w:rPr>
        <w:lastRenderedPageBreak/>
        <w:t>Груп</w:t>
      </w:r>
      <w:r w:rsidR="00720DCE" w:rsidRPr="00720DCE">
        <w:rPr>
          <w:b/>
          <w:bCs/>
          <w:sz w:val="28"/>
          <w:szCs w:val="28"/>
        </w:rPr>
        <w:t>а</w:t>
      </w:r>
      <w:r w:rsidRPr="00720DCE">
        <w:rPr>
          <w:b/>
          <w:bCs/>
          <w:sz w:val="28"/>
          <w:szCs w:val="28"/>
        </w:rPr>
        <w:t xml:space="preserve"> «Галузевий розвиток»</w:t>
      </w:r>
      <w:r w:rsidRPr="00F845DC">
        <w:rPr>
          <w:b/>
          <w:bCs/>
          <w:sz w:val="24"/>
          <w:szCs w:val="24"/>
        </w:rPr>
        <w:t xml:space="preserve"> (вибір з вже запущених галузей – Харчова, </w:t>
      </w:r>
      <w:r>
        <w:rPr>
          <w:b/>
          <w:bCs/>
          <w:sz w:val="24"/>
          <w:szCs w:val="24"/>
        </w:rPr>
        <w:t>Морська, Муніципальний сектор, Залізничний транспорт)</w:t>
      </w:r>
    </w:p>
    <w:p w:rsidR="00380428" w:rsidRPr="005F5EE0" w:rsidRDefault="00380428" w:rsidP="00380428">
      <w:pPr>
        <w:rPr>
          <w:u w:val="single"/>
        </w:rPr>
      </w:pPr>
      <w:r>
        <w:rPr>
          <w:u w:val="single"/>
        </w:rPr>
        <w:t>Загальний контекст:</w:t>
      </w:r>
      <w:r w:rsidRPr="00380428">
        <w:t xml:space="preserve"> </w:t>
      </w:r>
      <w:r w:rsidR="005F5EE0">
        <w:t>в 2019 АППАУ самостійно розпочала реалізацію розробок дорожніх карт по 5 галузям</w:t>
      </w:r>
      <w:r w:rsidR="00C10D19">
        <w:t>.</w:t>
      </w:r>
      <w:r w:rsidR="005F5EE0">
        <w:t xml:space="preserve"> Створена модель (</w:t>
      </w:r>
      <w:r w:rsidR="005F5EE0">
        <w:rPr>
          <w:lang w:val="en-US"/>
        </w:rPr>
        <w:t>policy</w:t>
      </w:r>
      <w:r w:rsidR="005F5EE0" w:rsidRPr="005F5EE0">
        <w:rPr>
          <w:lang w:val="ru-RU"/>
        </w:rPr>
        <w:t xml:space="preserve"> </w:t>
      </w:r>
      <w:r w:rsidR="005F5EE0">
        <w:rPr>
          <w:lang w:val="en-US"/>
        </w:rPr>
        <w:t>paper</w:t>
      </w:r>
      <w:r w:rsidR="005F5EE0" w:rsidRPr="005F5EE0">
        <w:rPr>
          <w:lang w:val="ru-RU"/>
        </w:rPr>
        <w:t xml:space="preserve">) </w:t>
      </w:r>
      <w:r w:rsidR="005F5EE0">
        <w:rPr>
          <w:lang w:val="ru-RU"/>
        </w:rPr>
        <w:t>по дорожн</w:t>
      </w:r>
      <w:r w:rsidR="001E3122">
        <w:t>и</w:t>
      </w:r>
      <w:r w:rsidR="005F5EE0">
        <w:t xml:space="preserve">м картам – </w:t>
      </w:r>
      <w:r w:rsidR="001E3122">
        <w:t xml:space="preserve">це </w:t>
      </w:r>
      <w:r w:rsidR="005F5EE0">
        <w:t>готовий алгоритм дій. Першим стартува</w:t>
      </w:r>
      <w:r w:rsidR="001E3122">
        <w:t>в транспорт</w:t>
      </w:r>
      <w:r w:rsidR="005F5EE0">
        <w:t>, концепція дорожної карти</w:t>
      </w:r>
      <w:r w:rsidR="001E3122">
        <w:t xml:space="preserve"> </w:t>
      </w:r>
      <w:r w:rsidR="001E3122">
        <w:rPr>
          <w:lang w:val="en-US"/>
        </w:rPr>
        <w:t>DX</w:t>
      </w:r>
      <w:r w:rsidR="005F5EE0">
        <w:t xml:space="preserve"> була підготовлена для Укрзалізниці</w:t>
      </w:r>
      <w:r w:rsidR="001E3122">
        <w:t xml:space="preserve"> (УЗ)</w:t>
      </w:r>
      <w:r w:rsidR="005F5EE0">
        <w:t xml:space="preserve">. </w:t>
      </w:r>
      <w:r w:rsidR="001E3122">
        <w:t xml:space="preserve">Але сама УЗ відсторонилась від нього. </w:t>
      </w:r>
      <w:r w:rsidR="005F5EE0">
        <w:t xml:space="preserve">Проект для Харчової промисловості </w:t>
      </w:r>
      <w:r w:rsidR="001E3122">
        <w:t xml:space="preserve">був більш розгорнутим та </w:t>
      </w:r>
      <w:r w:rsidR="005F5EE0">
        <w:t xml:space="preserve">залучив більше 20 замовників та створив перші бізнес- та юз-кейси. </w:t>
      </w:r>
      <w:r w:rsidR="001E3122">
        <w:t>Восени 2019 п</w:t>
      </w:r>
      <w:r w:rsidR="005F5EE0">
        <w:t xml:space="preserve">очались ініціативи та обміни в Морській галузі та Муніципальному секторі. </w:t>
      </w:r>
      <w:r w:rsidR="001E3122">
        <w:t>І</w:t>
      </w:r>
      <w:r w:rsidR="005F5EE0">
        <w:t>ніціативу проявляють самі члени АППАУ</w:t>
      </w:r>
      <w:r w:rsidR="001E3122">
        <w:t>, керівники інтеграторів та розробників</w:t>
      </w:r>
      <w:r w:rsidR="005F5EE0">
        <w:t>. Водночас, всім цим робочим групам бракує системності та ресурсів. Зрештою, це питання фінансування цих проектів.</w:t>
      </w:r>
    </w:p>
    <w:p w:rsidR="001C3F36" w:rsidRPr="001C3F36" w:rsidRDefault="001C3F36" w:rsidP="001C3F36">
      <w:r>
        <w:rPr>
          <w:u w:val="single"/>
        </w:rPr>
        <w:t xml:space="preserve">Головний виклик: </w:t>
      </w:r>
      <w:r w:rsidR="005F5EE0">
        <w:rPr>
          <w:b/>
        </w:rPr>
        <w:t xml:space="preserve"> чи можемо ми рухатись в цих проектах без зовнішнього фінансування? Яким чином? </w:t>
      </w:r>
    </w:p>
    <w:p w:rsidR="00380428" w:rsidRDefault="00380428" w:rsidP="00380428">
      <w:pPr>
        <w:rPr>
          <w:u w:val="single"/>
        </w:rPr>
      </w:pPr>
      <w:r>
        <w:rPr>
          <w:u w:val="single"/>
        </w:rPr>
        <w:t>Головні питання для дискусії:</w:t>
      </w:r>
    </w:p>
    <w:p w:rsidR="0048218D" w:rsidRDefault="0048218D" w:rsidP="005F5EE0">
      <w:pPr>
        <w:pStyle w:val="a3"/>
        <w:numPr>
          <w:ilvl w:val="0"/>
          <w:numId w:val="11"/>
        </w:numPr>
      </w:pPr>
      <w:r w:rsidRPr="0048218D">
        <w:t>Як</w:t>
      </w:r>
      <w:r w:rsidR="005F5EE0">
        <w:t>а ваша оцінка руху в вашій галузі?</w:t>
      </w:r>
      <w:r w:rsidR="001E3122">
        <w:t xml:space="preserve"> (обміняйтесь думками про здобутки та проблеми)</w:t>
      </w:r>
      <w:r w:rsidR="005F5EE0">
        <w:t xml:space="preserve"> </w:t>
      </w:r>
    </w:p>
    <w:p w:rsidR="0048218D" w:rsidRDefault="005F5EE0" w:rsidP="005F5EE0">
      <w:pPr>
        <w:pStyle w:val="a3"/>
        <w:numPr>
          <w:ilvl w:val="0"/>
          <w:numId w:val="11"/>
        </w:numPr>
      </w:pPr>
      <w:r>
        <w:t>Якими є головні умови роботи РГ (робочих груп) та їх фактори успіху</w:t>
      </w:r>
      <w:r w:rsidR="001E3122">
        <w:t xml:space="preserve"> – що спільного по різних галузях</w:t>
      </w:r>
    </w:p>
    <w:p w:rsidR="0048218D" w:rsidRPr="0048218D" w:rsidRDefault="0048218D" w:rsidP="005F5EE0">
      <w:pPr>
        <w:pStyle w:val="a3"/>
        <w:numPr>
          <w:ilvl w:val="0"/>
          <w:numId w:val="11"/>
        </w:numPr>
      </w:pPr>
      <w:r>
        <w:t xml:space="preserve">Ваші інші ідеї та пропозиції щодо </w:t>
      </w:r>
      <w:r w:rsidR="005F5EE0">
        <w:t>розвитку дорожніх карт цифрової трансформації у вашій галузі на 2020</w:t>
      </w:r>
    </w:p>
    <w:p w:rsidR="005F5EE0" w:rsidRDefault="00380428" w:rsidP="005F5EE0">
      <w:r w:rsidRPr="00380428">
        <w:rPr>
          <w:u w:val="single"/>
        </w:rPr>
        <w:t>Для кого ця група</w:t>
      </w:r>
      <w:r>
        <w:t xml:space="preserve">: </w:t>
      </w:r>
      <w:r w:rsidR="007D2DC6">
        <w:t xml:space="preserve">для </w:t>
      </w:r>
      <w:r w:rsidR="005F5EE0">
        <w:t xml:space="preserve">інтеграторів, вендорів та Центрів 4.0, які спеціалізуються в конкретній галузі. . </w:t>
      </w:r>
    </w:p>
    <w:p w:rsidR="007D336A" w:rsidRDefault="001E3122" w:rsidP="00380428">
      <w:r w:rsidRPr="001E3122">
        <w:rPr>
          <w:u w:val="single"/>
        </w:rPr>
        <w:t>Час</w:t>
      </w:r>
      <w:r>
        <w:t xml:space="preserve">: 40 хв    </w:t>
      </w:r>
      <w:r w:rsidR="007D336A" w:rsidRPr="007D336A">
        <w:rPr>
          <w:u w:val="single"/>
        </w:rPr>
        <w:t>Модератор</w:t>
      </w:r>
      <w:r w:rsidR="007D336A">
        <w:t xml:space="preserve">: </w:t>
      </w:r>
      <w:r w:rsidR="006901DA">
        <w:t>Роман Ханжин</w:t>
      </w:r>
      <w:r w:rsidR="00720DCE">
        <w:t xml:space="preserve"> (МДЕМ)</w:t>
      </w:r>
    </w:p>
    <w:p w:rsidR="006901DA" w:rsidRPr="00585979" w:rsidRDefault="006901DA" w:rsidP="006901DA">
      <w:pPr>
        <w:pStyle w:val="a3"/>
        <w:numPr>
          <w:ilvl w:val="0"/>
          <w:numId w:val="16"/>
        </w:numPr>
        <w:rPr>
          <w:b/>
          <w:bCs/>
          <w:color w:val="0070C0"/>
        </w:rPr>
      </w:pPr>
      <w:r w:rsidRPr="00585979">
        <w:rPr>
          <w:b/>
          <w:bCs/>
          <w:color w:val="0070C0"/>
        </w:rPr>
        <w:t>Оцінка руху в галузі:</w:t>
      </w:r>
    </w:p>
    <w:p w:rsidR="006901DA" w:rsidRPr="006901DA" w:rsidRDefault="006901DA" w:rsidP="006901DA">
      <w:pPr>
        <w:pStyle w:val="a3"/>
        <w:rPr>
          <w:color w:val="0070C0"/>
        </w:rPr>
      </w:pPr>
      <w:r w:rsidRPr="006901DA">
        <w:rPr>
          <w:color w:val="0070C0"/>
        </w:rPr>
        <w:t>В групі обговорили ситуацію в залізничній та морській галузях та прогрес в муніципальному секторі.</w:t>
      </w:r>
    </w:p>
    <w:p w:rsidR="006901DA" w:rsidRPr="006901DA" w:rsidRDefault="006901DA" w:rsidP="006901DA">
      <w:pPr>
        <w:pStyle w:val="a3"/>
        <w:rPr>
          <w:color w:val="0070C0"/>
        </w:rPr>
      </w:pPr>
      <w:r w:rsidRPr="006901DA">
        <w:rPr>
          <w:color w:val="0070C0"/>
        </w:rPr>
        <w:t>Успіхом є розробка дорожньої карти для Укрзалізниці, але розвитку ініціативи поки немає через зміни у замовника. Потрібна актуалізація дорожньої карти після підписання угоди на економічному форумі.</w:t>
      </w:r>
    </w:p>
    <w:p w:rsidR="006901DA" w:rsidRPr="006901DA" w:rsidRDefault="006901DA" w:rsidP="006901DA">
      <w:pPr>
        <w:pStyle w:val="a3"/>
        <w:rPr>
          <w:color w:val="0070C0"/>
        </w:rPr>
      </w:pPr>
      <w:r w:rsidRPr="006901DA">
        <w:rPr>
          <w:color w:val="0070C0"/>
        </w:rPr>
        <w:t>Консолідація гравців морської галузі також визнана індикатором успіху, але подальший розвиток залежить від виділення або створення замовника.</w:t>
      </w:r>
    </w:p>
    <w:p w:rsidR="006901DA" w:rsidRPr="006901DA" w:rsidRDefault="006901DA" w:rsidP="006901DA">
      <w:pPr>
        <w:pStyle w:val="a3"/>
        <w:rPr>
          <w:color w:val="0070C0"/>
        </w:rPr>
      </w:pPr>
      <w:r w:rsidRPr="006901DA">
        <w:rPr>
          <w:color w:val="0070C0"/>
        </w:rPr>
        <w:t>В муніципальному секторі рух тільки почався. Група виділила також проблеми із замовниками.</w:t>
      </w:r>
    </w:p>
    <w:p w:rsidR="006901DA" w:rsidRPr="006901DA" w:rsidRDefault="006901DA" w:rsidP="006901DA">
      <w:pPr>
        <w:pStyle w:val="a3"/>
        <w:rPr>
          <w:color w:val="0070C0"/>
        </w:rPr>
      </w:pPr>
    </w:p>
    <w:p w:rsidR="006901DA" w:rsidRPr="00585979" w:rsidRDefault="006901DA" w:rsidP="006901DA">
      <w:pPr>
        <w:pStyle w:val="a3"/>
        <w:numPr>
          <w:ilvl w:val="0"/>
          <w:numId w:val="16"/>
        </w:numPr>
        <w:rPr>
          <w:b/>
          <w:bCs/>
          <w:color w:val="0070C0"/>
        </w:rPr>
      </w:pPr>
      <w:r w:rsidRPr="006901DA">
        <w:rPr>
          <w:color w:val="0070C0"/>
        </w:rPr>
        <w:t xml:space="preserve">Виходячи з обговорення пункту 1, для подальшого успішного руху </w:t>
      </w:r>
      <w:r w:rsidRPr="00585979">
        <w:rPr>
          <w:b/>
          <w:bCs/>
          <w:color w:val="0070C0"/>
        </w:rPr>
        <w:t xml:space="preserve">потрібна робота з замовниками по всіх обговорених галузях/секторах.   </w:t>
      </w:r>
    </w:p>
    <w:p w:rsidR="006901DA" w:rsidRPr="006901DA" w:rsidRDefault="006901DA" w:rsidP="006901DA">
      <w:pPr>
        <w:rPr>
          <w:color w:val="0070C0"/>
        </w:rPr>
      </w:pPr>
      <w:r w:rsidRPr="006901DA">
        <w:rPr>
          <w:color w:val="0070C0"/>
        </w:rPr>
        <w:t>Основне питання:</w:t>
      </w:r>
    </w:p>
    <w:p w:rsidR="006901DA" w:rsidRPr="006901DA" w:rsidRDefault="006901DA" w:rsidP="006901DA">
      <w:pPr>
        <w:rPr>
          <w:color w:val="0070C0"/>
        </w:rPr>
      </w:pPr>
      <w:r w:rsidRPr="006901DA">
        <w:rPr>
          <w:color w:val="0070C0"/>
        </w:rPr>
        <w:t>Група прийшла до висновку, що подальший рух можливий з використанням внутрішнього фінансування, але з’являються певні обмеження, для подолання яких потрібно залучати зовнішнє.</w:t>
      </w:r>
    </w:p>
    <w:p w:rsidR="006901DA" w:rsidRDefault="006901DA" w:rsidP="00380428"/>
    <w:p w:rsidR="00E82E8E" w:rsidRDefault="00E82E8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3D5999" w:rsidRPr="00720DCE" w:rsidRDefault="003D5999" w:rsidP="00380428">
      <w:pPr>
        <w:rPr>
          <w:b/>
          <w:sz w:val="32"/>
          <w:szCs w:val="32"/>
        </w:rPr>
      </w:pPr>
      <w:r w:rsidRPr="00720DCE">
        <w:rPr>
          <w:b/>
          <w:sz w:val="32"/>
          <w:szCs w:val="32"/>
        </w:rPr>
        <w:lastRenderedPageBreak/>
        <w:t>Група «</w:t>
      </w:r>
      <w:r w:rsidR="008E6A4A" w:rsidRPr="00720DCE">
        <w:rPr>
          <w:b/>
          <w:sz w:val="32"/>
          <w:szCs w:val="32"/>
        </w:rPr>
        <w:t>Інноваційний розвиток – як прискорити</w:t>
      </w:r>
      <w:r w:rsidRPr="00720DCE">
        <w:rPr>
          <w:b/>
          <w:sz w:val="32"/>
          <w:szCs w:val="32"/>
        </w:rPr>
        <w:t>»</w:t>
      </w:r>
    </w:p>
    <w:p w:rsidR="0048218D" w:rsidRPr="00E11628" w:rsidRDefault="0048218D" w:rsidP="0048218D">
      <w:pPr>
        <w:rPr>
          <w:u w:val="single"/>
        </w:rPr>
      </w:pPr>
      <w:r>
        <w:rPr>
          <w:u w:val="single"/>
        </w:rPr>
        <w:t>Загальний контекст:</w:t>
      </w:r>
      <w:r>
        <w:t xml:space="preserve"> </w:t>
      </w:r>
      <w:r w:rsidR="001E3122">
        <w:t>потужна інноваційна екосистема – основа Індустрії 4.0 і в стратегії 4.0 є розгорнута аналітика її стану</w:t>
      </w:r>
      <w:r w:rsidR="001C3F36">
        <w:t>.</w:t>
      </w:r>
      <w:r w:rsidR="001E3122">
        <w:t xml:space="preserve"> Якщо коротко, найслабші ланки – це НДІ та Університети</w:t>
      </w:r>
      <w:r w:rsidR="00E11628">
        <w:rPr>
          <w:lang w:val="ru-RU"/>
        </w:rPr>
        <w:t xml:space="preserve"> (р</w:t>
      </w:r>
      <w:r w:rsidR="00E11628">
        <w:t>івень прикладних розробок)</w:t>
      </w:r>
      <w:r w:rsidR="001E3122">
        <w:t>, а також інфраструктура – майже повна відсутність технопарків, інкубаторів-акселераторів тощо – для пром. хайтек.</w:t>
      </w:r>
      <w:r w:rsidR="00E11628">
        <w:t xml:space="preserve"> Але найбільшою проблемою на поверхні є </w:t>
      </w:r>
      <w:r w:rsidR="00E11628" w:rsidRPr="00E11628">
        <w:rPr>
          <w:b/>
          <w:bCs/>
        </w:rPr>
        <w:t>стимулювання інновацій та доступ до фондів.</w:t>
      </w:r>
      <w:r w:rsidR="00E11628">
        <w:t xml:space="preserve"> АППАУ вже довго, але поки безуспішно доказує центральним ОВВ, що стимулювання (до інновацій та діджиталізації) має бути направлено </w:t>
      </w:r>
      <w:r w:rsidR="00E11628" w:rsidRPr="00E11628">
        <w:rPr>
          <w:u w:val="single"/>
        </w:rPr>
        <w:t>в першу чергу на замовників</w:t>
      </w:r>
      <w:r w:rsidR="00E11628">
        <w:t>, а вже потім – на стартапи чи розробників. Це мало б призвести до зростання попиту на внутрішньому ринку. Інакше наші інноватори будуть й далі обслуговувати більше зарубіжні економіки.  Але й є друга проблема – це малий потік інновацій від самих розробників 4.0. При цьому видно, що фірми не використовують наявні фонди. Згідно аналітики АППАУ серед фірм, що є на Лендскейпі Індустрії 4.0 є не більше 5 (серед 80), що скористались наявними фондами – як в Україні, так і в ЄС</w:t>
      </w:r>
      <w:r w:rsidR="00E11628" w:rsidRPr="00E11628">
        <w:t xml:space="preserve"> (</w:t>
      </w:r>
      <w:r w:rsidR="00E11628">
        <w:rPr>
          <w:lang w:val="en-US"/>
        </w:rPr>
        <w:t>Horizon</w:t>
      </w:r>
      <w:r w:rsidR="00E11628" w:rsidRPr="00E11628">
        <w:t xml:space="preserve"> 2020 тощо).</w:t>
      </w:r>
    </w:p>
    <w:p w:rsidR="001C3F36" w:rsidRPr="001C3F36" w:rsidRDefault="001C3F36" w:rsidP="001C3F36">
      <w:r>
        <w:rPr>
          <w:u w:val="single"/>
        </w:rPr>
        <w:t xml:space="preserve">Головний виклик: </w:t>
      </w:r>
      <w:r>
        <w:rPr>
          <w:b/>
        </w:rPr>
        <w:t xml:space="preserve"> як</w:t>
      </w:r>
      <w:r w:rsidR="00E11628">
        <w:rPr>
          <w:b/>
        </w:rPr>
        <w:t xml:space="preserve"> прискорити рух фірм -розробників 4.0 до системного використання фондів в Україні та в світі</w:t>
      </w:r>
    </w:p>
    <w:p w:rsidR="0048218D" w:rsidRDefault="0048218D" w:rsidP="0048218D">
      <w:pPr>
        <w:rPr>
          <w:u w:val="single"/>
        </w:rPr>
      </w:pPr>
      <w:r>
        <w:rPr>
          <w:u w:val="single"/>
        </w:rPr>
        <w:t>Головні питання для дискусії:</w:t>
      </w:r>
    </w:p>
    <w:p w:rsidR="001C3F36" w:rsidRDefault="00E11628" w:rsidP="0048218D">
      <w:pPr>
        <w:pStyle w:val="a3"/>
        <w:numPr>
          <w:ilvl w:val="0"/>
          <w:numId w:val="4"/>
        </w:numPr>
      </w:pPr>
      <w:r>
        <w:t xml:space="preserve">Які головні причини слабкого використання фондів (для прикладу, розгляньте вчорашню новину про </w:t>
      </w:r>
      <w:hyperlink r:id="rId5" w:history="1">
        <w:r w:rsidRPr="00720DCE">
          <w:rPr>
            <w:rStyle w:val="a4"/>
          </w:rPr>
          <w:t xml:space="preserve">фінансування </w:t>
        </w:r>
        <w:r w:rsidR="00720DCE" w:rsidRPr="00720DCE">
          <w:rPr>
            <w:rStyle w:val="a4"/>
          </w:rPr>
          <w:t xml:space="preserve">12 </w:t>
        </w:r>
        <w:r w:rsidRPr="00720DCE">
          <w:rPr>
            <w:rStyle w:val="a4"/>
          </w:rPr>
          <w:t>стратапів</w:t>
        </w:r>
      </w:hyperlink>
      <w:r>
        <w:t xml:space="preserve"> – серед ни</w:t>
      </w:r>
      <w:r w:rsidR="00720DCE">
        <w:t>х немає жодного в сфері пром. хайтек)</w:t>
      </w:r>
    </w:p>
    <w:p w:rsidR="0048218D" w:rsidRDefault="00720DCE" w:rsidP="0048218D">
      <w:pPr>
        <w:pStyle w:val="a3"/>
        <w:numPr>
          <w:ilvl w:val="0"/>
          <w:numId w:val="4"/>
        </w:numPr>
      </w:pPr>
      <w:r>
        <w:t>Якими мають бути спільні дії, щоб покращити цю ситуацію?</w:t>
      </w:r>
    </w:p>
    <w:p w:rsidR="001C3F36" w:rsidRPr="0048218D" w:rsidRDefault="00720DCE" w:rsidP="001C3F36">
      <w:pPr>
        <w:pStyle w:val="a3"/>
        <w:numPr>
          <w:ilvl w:val="0"/>
          <w:numId w:val="4"/>
        </w:numPr>
      </w:pPr>
      <w:r>
        <w:t>Конкретизуйте 2-3 пріоритети на 2020</w:t>
      </w:r>
    </w:p>
    <w:p w:rsidR="00AD441E" w:rsidRDefault="00380428" w:rsidP="00380428">
      <w:r w:rsidRPr="00380428">
        <w:rPr>
          <w:u w:val="single"/>
        </w:rPr>
        <w:t>Для кого ця група:</w:t>
      </w:r>
      <w:r>
        <w:t xml:space="preserve"> в</w:t>
      </w:r>
      <w:r w:rsidR="00AD441E" w:rsidRPr="00AD441E">
        <w:t xml:space="preserve"> цю групу запрошуються головним чином </w:t>
      </w:r>
      <w:r w:rsidR="00720DCE">
        <w:t>інноватори з Лендскейпу Індустрії 4.0, а також представники Центрів 4.0, інших ЗВО та НАНУ.</w:t>
      </w:r>
    </w:p>
    <w:p w:rsidR="007D336A" w:rsidRPr="00720DCE" w:rsidRDefault="007D336A" w:rsidP="00380428">
      <w:r w:rsidRPr="007D336A">
        <w:rPr>
          <w:u w:val="single"/>
        </w:rPr>
        <w:t>Модератор</w:t>
      </w:r>
      <w:r>
        <w:t xml:space="preserve">: </w:t>
      </w:r>
      <w:r w:rsidR="008D2F97" w:rsidRPr="00C12AF0">
        <w:t>Олександр Степанець</w:t>
      </w:r>
      <w:r w:rsidR="00720DCE">
        <w:t xml:space="preserve"> (</w:t>
      </w:r>
      <w:r w:rsidR="008D2F97">
        <w:t>КПІ</w:t>
      </w:r>
      <w:r w:rsidR="00720DCE">
        <w:t>)</w:t>
      </w:r>
    </w:p>
    <w:p w:rsidR="006901DA" w:rsidRPr="00E82E8E" w:rsidRDefault="006901DA" w:rsidP="006901DA">
      <w:pPr>
        <w:pStyle w:val="a6"/>
        <w:shd w:val="clear" w:color="auto" w:fill="FFFFFF"/>
        <w:rPr>
          <w:rFonts w:ascii="Arial" w:hAnsi="Arial" w:cs="Arial"/>
          <w:color w:val="0070C0"/>
          <w:sz w:val="22"/>
          <w:szCs w:val="22"/>
        </w:rPr>
      </w:pPr>
      <w:r w:rsidRPr="00E82E8E">
        <w:rPr>
          <w:rFonts w:ascii="Arial" w:hAnsi="Arial" w:cs="Arial"/>
          <w:color w:val="0070C0"/>
          <w:sz w:val="22"/>
          <w:szCs w:val="22"/>
        </w:rPr>
        <w:t>Стримують повноцінне використання різноманітних фондів наступне:</w:t>
      </w:r>
    </w:p>
    <w:p w:rsidR="006901DA" w:rsidRPr="00E82E8E" w:rsidRDefault="006901DA" w:rsidP="006901DA">
      <w:pPr>
        <w:pStyle w:val="a6"/>
        <w:shd w:val="clear" w:color="auto" w:fill="FFFFFF"/>
        <w:rPr>
          <w:rFonts w:ascii="Arial" w:hAnsi="Arial" w:cs="Arial"/>
          <w:color w:val="0070C0"/>
          <w:sz w:val="22"/>
          <w:szCs w:val="22"/>
        </w:rPr>
      </w:pPr>
      <w:r w:rsidRPr="00E82E8E">
        <w:rPr>
          <w:rFonts w:ascii="Arial" w:hAnsi="Arial" w:cs="Arial"/>
          <w:color w:val="0070C0"/>
          <w:sz w:val="22"/>
          <w:szCs w:val="22"/>
        </w:rPr>
        <w:t>- низка поінформованість та відсутність привабливої інформації про ці можливості (гранти, фонди, урядові програми, інкубатори тощо). Навіть GreenCubator нечасто зустрічається у новинах, хоча вони провели вже багато раундів; низька довіра;</w:t>
      </w:r>
    </w:p>
    <w:p w:rsidR="006901DA" w:rsidRPr="00585979" w:rsidRDefault="006901DA" w:rsidP="006901DA">
      <w:pPr>
        <w:pStyle w:val="a6"/>
        <w:shd w:val="clear" w:color="auto" w:fill="FFFFFF"/>
        <w:rPr>
          <w:rFonts w:ascii="Arial" w:hAnsi="Arial" w:cs="Arial"/>
          <w:b/>
          <w:bCs/>
          <w:color w:val="0070C0"/>
          <w:sz w:val="22"/>
          <w:szCs w:val="22"/>
        </w:rPr>
      </w:pPr>
      <w:r w:rsidRPr="00E82E8E">
        <w:rPr>
          <w:rFonts w:ascii="Arial" w:hAnsi="Arial" w:cs="Arial"/>
          <w:color w:val="0070C0"/>
          <w:sz w:val="22"/>
          <w:szCs w:val="22"/>
        </w:rPr>
        <w:t xml:space="preserve">- для промислових інноваторів важливим є "відчуття проблеми" - потрібна </w:t>
      </w:r>
      <w:r w:rsidRPr="00585979">
        <w:rPr>
          <w:rFonts w:ascii="Arial" w:hAnsi="Arial" w:cs="Arial"/>
          <w:b/>
          <w:bCs/>
          <w:color w:val="0070C0"/>
          <w:sz w:val="22"/>
          <w:szCs w:val="22"/>
        </w:rPr>
        <w:t>постановка задачі, з вирішенням якої можна йти до фондів;</w:t>
      </w:r>
    </w:p>
    <w:p w:rsidR="006901DA" w:rsidRPr="00E82E8E" w:rsidRDefault="006901DA" w:rsidP="006901DA">
      <w:pPr>
        <w:pStyle w:val="a6"/>
        <w:shd w:val="clear" w:color="auto" w:fill="FFFFFF"/>
        <w:rPr>
          <w:rFonts w:ascii="Arial" w:hAnsi="Arial" w:cs="Arial"/>
          <w:color w:val="0070C0"/>
          <w:sz w:val="22"/>
          <w:szCs w:val="22"/>
        </w:rPr>
      </w:pPr>
      <w:r w:rsidRPr="00E82E8E">
        <w:rPr>
          <w:rFonts w:ascii="Arial" w:hAnsi="Arial" w:cs="Arial"/>
          <w:color w:val="0070C0"/>
          <w:sz w:val="22"/>
          <w:szCs w:val="22"/>
        </w:rPr>
        <w:t>- відсутність або низький рівень світової експертизи - пропоновані рішення вже можуть бути відомими вендорам або відкинути світовою спільнотою як неефективні. Вендори ж можуть інформувати про наявність корпоративних фондових програм, але в Україні для них це непріоритетний напрямок</w:t>
      </w:r>
    </w:p>
    <w:p w:rsidR="006901DA" w:rsidRPr="00585979" w:rsidRDefault="006901DA" w:rsidP="006901DA">
      <w:pPr>
        <w:pStyle w:val="a6"/>
        <w:shd w:val="clear" w:color="auto" w:fill="FFFFFF"/>
        <w:rPr>
          <w:rFonts w:ascii="Arial" w:hAnsi="Arial" w:cs="Arial"/>
          <w:b/>
          <w:bCs/>
          <w:color w:val="0070C0"/>
          <w:sz w:val="22"/>
          <w:szCs w:val="22"/>
        </w:rPr>
      </w:pPr>
      <w:r w:rsidRPr="00E82E8E">
        <w:rPr>
          <w:rFonts w:ascii="Arial" w:hAnsi="Arial" w:cs="Arial"/>
          <w:color w:val="0070C0"/>
          <w:sz w:val="22"/>
          <w:szCs w:val="22"/>
        </w:rPr>
        <w:t xml:space="preserve">- немає явного зацікавлення саме інноваціями зі сторони підприємств. Всі хочуть або перевірени рішення або перекласти ризики на виконавця. Тут </w:t>
      </w:r>
      <w:r w:rsidRPr="00585979">
        <w:rPr>
          <w:rFonts w:ascii="Arial" w:hAnsi="Arial" w:cs="Arial"/>
          <w:b/>
          <w:bCs/>
          <w:color w:val="0070C0"/>
          <w:sz w:val="22"/>
          <w:szCs w:val="22"/>
        </w:rPr>
        <w:t>потрібна державна політика стимулювання зацікавлення в інноваційності замовників: податкові пільги, якісь бенефіції за впровадження тощо.</w:t>
      </w:r>
    </w:p>
    <w:p w:rsidR="006901DA" w:rsidRPr="00E82E8E" w:rsidRDefault="006901DA" w:rsidP="006901DA">
      <w:pPr>
        <w:pStyle w:val="a6"/>
        <w:shd w:val="clear" w:color="auto" w:fill="FFFFFF"/>
        <w:rPr>
          <w:rFonts w:ascii="Arial" w:hAnsi="Arial" w:cs="Arial"/>
          <w:color w:val="0070C0"/>
          <w:sz w:val="22"/>
          <w:szCs w:val="22"/>
        </w:rPr>
      </w:pPr>
      <w:r w:rsidRPr="00E82E8E">
        <w:rPr>
          <w:rFonts w:ascii="Arial" w:hAnsi="Arial" w:cs="Arial"/>
          <w:color w:val="0070C0"/>
          <w:sz w:val="22"/>
          <w:szCs w:val="22"/>
        </w:rPr>
        <w:t>Пропонується:</w:t>
      </w:r>
    </w:p>
    <w:p w:rsidR="006901DA" w:rsidRPr="00E82E8E" w:rsidRDefault="006901DA" w:rsidP="006901DA">
      <w:pPr>
        <w:pStyle w:val="a6"/>
        <w:shd w:val="clear" w:color="auto" w:fill="FFFFFF"/>
        <w:rPr>
          <w:rFonts w:ascii="Arial" w:hAnsi="Arial" w:cs="Arial"/>
          <w:color w:val="0070C0"/>
          <w:sz w:val="22"/>
          <w:szCs w:val="22"/>
        </w:rPr>
      </w:pPr>
      <w:r w:rsidRPr="00E82E8E">
        <w:rPr>
          <w:rFonts w:ascii="Arial" w:hAnsi="Arial" w:cs="Arial"/>
          <w:color w:val="0070C0"/>
          <w:sz w:val="22"/>
          <w:szCs w:val="22"/>
        </w:rPr>
        <w:t>- посилити просвітницьку діяльність в цьому напрямку. Обізнаність веде до розгляду фондів як інструменту реалізації інновацій;</w:t>
      </w:r>
    </w:p>
    <w:p w:rsidR="006901DA" w:rsidRPr="00E82E8E" w:rsidRDefault="006901DA" w:rsidP="006901DA">
      <w:pPr>
        <w:pStyle w:val="a6"/>
        <w:shd w:val="clear" w:color="auto" w:fill="FFFFFF"/>
        <w:rPr>
          <w:rFonts w:ascii="Arial" w:hAnsi="Arial" w:cs="Arial"/>
          <w:color w:val="0070C0"/>
          <w:sz w:val="22"/>
          <w:szCs w:val="22"/>
        </w:rPr>
      </w:pPr>
      <w:r w:rsidRPr="00E82E8E">
        <w:rPr>
          <w:rFonts w:ascii="Arial" w:hAnsi="Arial" w:cs="Arial"/>
          <w:color w:val="0070C0"/>
          <w:sz w:val="22"/>
          <w:szCs w:val="22"/>
        </w:rPr>
        <w:t>- створення платформи для обміну проблемами (зі сторони замовників) та маркетплейсу експертизі юз-кейсів (зі сторони потенційних інноваторів-виконавців). З доступом без обмежень принаймні на початковому етапі  та "миттєвим маркетингом" - застосуванням QR-</w:t>
      </w:r>
      <w:r w:rsidRPr="00E82E8E">
        <w:rPr>
          <w:rFonts w:ascii="Arial" w:hAnsi="Arial" w:cs="Arial"/>
          <w:color w:val="0070C0"/>
          <w:sz w:val="22"/>
          <w:szCs w:val="22"/>
        </w:rPr>
        <w:lastRenderedPageBreak/>
        <w:t>кодів на івентах, посилань, перехресними згадками, щоб стимулювати та зробити роботу з платформою якомога легшою;</w:t>
      </w:r>
    </w:p>
    <w:p w:rsidR="006901DA" w:rsidRPr="00585979" w:rsidRDefault="006901DA" w:rsidP="006901DA">
      <w:pPr>
        <w:pStyle w:val="a6"/>
        <w:shd w:val="clear" w:color="auto" w:fill="FFFFFF"/>
        <w:rPr>
          <w:rFonts w:ascii="Arial" w:hAnsi="Arial" w:cs="Arial"/>
          <w:b/>
          <w:bCs/>
          <w:color w:val="0070C0"/>
          <w:sz w:val="22"/>
          <w:szCs w:val="22"/>
        </w:rPr>
      </w:pPr>
      <w:r w:rsidRPr="00E82E8E">
        <w:rPr>
          <w:rFonts w:ascii="Arial" w:hAnsi="Arial" w:cs="Arial"/>
          <w:color w:val="0070C0"/>
          <w:sz w:val="22"/>
          <w:szCs w:val="22"/>
        </w:rPr>
        <w:t xml:space="preserve">- продовжувати пропонувати замовникам </w:t>
      </w:r>
      <w:r w:rsidRPr="00585979">
        <w:rPr>
          <w:rFonts w:ascii="Arial" w:hAnsi="Arial" w:cs="Arial"/>
          <w:b/>
          <w:bCs/>
          <w:color w:val="0070C0"/>
          <w:sz w:val="22"/>
          <w:szCs w:val="22"/>
        </w:rPr>
        <w:t>створити консорціум із фондом стимулювання цифрових промислових інновацій;</w:t>
      </w:r>
    </w:p>
    <w:p w:rsidR="006901DA" w:rsidRPr="00E82E8E" w:rsidRDefault="006901DA" w:rsidP="006901DA">
      <w:pPr>
        <w:pStyle w:val="a6"/>
        <w:shd w:val="clear" w:color="auto" w:fill="FFFFFF"/>
        <w:rPr>
          <w:rFonts w:ascii="Arial" w:hAnsi="Arial" w:cs="Arial"/>
          <w:color w:val="0070C0"/>
          <w:sz w:val="22"/>
          <w:szCs w:val="22"/>
        </w:rPr>
      </w:pPr>
      <w:r w:rsidRPr="00E82E8E">
        <w:rPr>
          <w:rFonts w:ascii="Arial" w:hAnsi="Arial" w:cs="Arial"/>
          <w:color w:val="0070C0"/>
          <w:sz w:val="22"/>
          <w:szCs w:val="22"/>
        </w:rPr>
        <w:t>- об'єднати внутрішні ресурси асоціації для створення показового позитивного прикладу інновацій. Як той конкурс, який був, але потім заглох через брак ресурсів та рутинні задачі кожного учасника.</w:t>
      </w:r>
    </w:p>
    <w:p w:rsidR="006901DA" w:rsidRPr="00E82E8E" w:rsidRDefault="006901DA" w:rsidP="006901DA">
      <w:pPr>
        <w:pStyle w:val="a6"/>
        <w:shd w:val="clear" w:color="auto" w:fill="FFFFFF"/>
        <w:rPr>
          <w:rFonts w:ascii="Arial" w:hAnsi="Arial" w:cs="Arial"/>
          <w:color w:val="0070C0"/>
          <w:sz w:val="22"/>
          <w:szCs w:val="22"/>
        </w:rPr>
      </w:pPr>
      <w:r w:rsidRPr="00E82E8E">
        <w:rPr>
          <w:rFonts w:ascii="Arial" w:hAnsi="Arial" w:cs="Arial"/>
          <w:color w:val="0070C0"/>
          <w:sz w:val="22"/>
          <w:szCs w:val="22"/>
        </w:rPr>
        <w:t>Хтось має показати, що інновації можливі, а доступ до фондів - корисний. Якщо не можемо знайти такого - мусимо його виростити.</w:t>
      </w:r>
    </w:p>
    <w:p w:rsidR="00720DCE" w:rsidRPr="00E82E8E" w:rsidRDefault="00720DCE" w:rsidP="00380428">
      <w:pPr>
        <w:rPr>
          <w:color w:val="0070C0"/>
        </w:rPr>
      </w:pPr>
    </w:p>
    <w:p w:rsidR="00E82E8E" w:rsidRDefault="00E82E8E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:rsidR="00720DCE" w:rsidRPr="00720DCE" w:rsidRDefault="00720DCE" w:rsidP="00720DCE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Group</w:t>
      </w:r>
      <w:r w:rsidRPr="00720DCE">
        <w:rPr>
          <w:b/>
          <w:sz w:val="32"/>
          <w:szCs w:val="32"/>
        </w:rPr>
        <w:t xml:space="preserve"> “</w:t>
      </w:r>
      <w:r>
        <w:rPr>
          <w:b/>
          <w:sz w:val="32"/>
          <w:szCs w:val="32"/>
          <w:lang w:val="en-US"/>
        </w:rPr>
        <w:t>Export</w:t>
      </w:r>
      <w:r w:rsidRPr="00720DCE">
        <w:rPr>
          <w:b/>
          <w:sz w:val="32"/>
          <w:szCs w:val="32"/>
        </w:rPr>
        <w:t xml:space="preserve"> &amp; </w:t>
      </w:r>
      <w:r>
        <w:rPr>
          <w:b/>
          <w:sz w:val="32"/>
          <w:szCs w:val="32"/>
          <w:lang w:val="en-US"/>
        </w:rPr>
        <w:t>internationalization</w:t>
      </w:r>
      <w:r w:rsidRPr="00C12AF0">
        <w:rPr>
          <w:b/>
          <w:sz w:val="32"/>
          <w:szCs w:val="32"/>
        </w:rPr>
        <w:t>”</w:t>
      </w:r>
    </w:p>
    <w:p w:rsidR="00B957DE" w:rsidRDefault="00720DCE" w:rsidP="00720DCE">
      <w:pPr>
        <w:rPr>
          <w:lang w:val="en-US"/>
        </w:rPr>
      </w:pPr>
      <w:r>
        <w:rPr>
          <w:u w:val="single"/>
          <w:lang w:val="en-US"/>
        </w:rPr>
        <w:t>General</w:t>
      </w:r>
      <w:r w:rsidRPr="00720DCE">
        <w:rPr>
          <w:u w:val="single"/>
        </w:rPr>
        <w:t xml:space="preserve"> </w:t>
      </w:r>
      <w:r>
        <w:rPr>
          <w:u w:val="single"/>
          <w:lang w:val="en-US"/>
        </w:rPr>
        <w:t>context</w:t>
      </w:r>
      <w:r>
        <w:rPr>
          <w:u w:val="single"/>
        </w:rPr>
        <w:t>:</w:t>
      </w:r>
      <w:r>
        <w:t xml:space="preserve"> </w:t>
      </w:r>
      <w:r>
        <w:rPr>
          <w:lang w:val="en-US"/>
        </w:rPr>
        <w:t>since 2016 APPAU tries to launch its export program. First</w:t>
      </w:r>
      <w:r w:rsidRPr="00720DCE">
        <w:rPr>
          <w:lang w:val="en-US"/>
        </w:rPr>
        <w:t xml:space="preserve"> </w:t>
      </w:r>
      <w:r>
        <w:rPr>
          <w:lang w:val="en-US"/>
        </w:rPr>
        <w:t>export</w:t>
      </w:r>
      <w:r w:rsidRPr="00720DCE">
        <w:rPr>
          <w:lang w:val="en-US"/>
        </w:rPr>
        <w:t xml:space="preserve"> </w:t>
      </w:r>
      <w:r>
        <w:rPr>
          <w:lang w:val="en-US"/>
        </w:rPr>
        <w:t xml:space="preserve">activities start in 2018 with the seminar in Berlin. In 2017-19 there also many </w:t>
      </w:r>
      <w:r w:rsidR="008D2F97">
        <w:rPr>
          <w:lang w:val="en-US"/>
        </w:rPr>
        <w:t>activities of internationalization, means integration and collaboration of our initiatives R&amp;I / Industry 4.0 with EU countries. In</w:t>
      </w:r>
      <w:r w:rsidR="008D2F97" w:rsidRPr="008D2F97">
        <w:rPr>
          <w:lang w:val="en-US"/>
        </w:rPr>
        <w:t xml:space="preserve"> </w:t>
      </w:r>
      <w:r w:rsidR="008D2F97">
        <w:rPr>
          <w:lang w:val="en-US"/>
        </w:rPr>
        <w:t>particular</w:t>
      </w:r>
      <w:r w:rsidR="008D2F97" w:rsidRPr="008D2F97">
        <w:rPr>
          <w:lang w:val="en-US"/>
        </w:rPr>
        <w:t xml:space="preserve">, </w:t>
      </w:r>
      <w:r w:rsidR="008D2F97">
        <w:rPr>
          <w:lang w:val="en-US"/>
        </w:rPr>
        <w:t>we and our members</w:t>
      </w:r>
      <w:r w:rsidR="008D2F97" w:rsidRPr="008D2F97">
        <w:rPr>
          <w:lang w:val="en-US"/>
        </w:rPr>
        <w:t xml:space="preserve"> </w:t>
      </w:r>
      <w:r w:rsidR="008D2F97">
        <w:rPr>
          <w:lang w:val="en-US"/>
        </w:rPr>
        <w:t>had</w:t>
      </w:r>
      <w:r w:rsidR="008D2F97" w:rsidRPr="008D2F97">
        <w:rPr>
          <w:lang w:val="en-US"/>
        </w:rPr>
        <w:t xml:space="preserve"> </w:t>
      </w:r>
      <w:r w:rsidR="008D2F97">
        <w:rPr>
          <w:lang w:val="en-US"/>
        </w:rPr>
        <w:t xml:space="preserve">fruitful exchanges with IoT &amp; Industry 4.0 clusters from Poland, TATU project (5 countries EU), several projects of Horizon 2020 (Aliot etc). Landscape Industry 4.0 (v2) show as well breakdown of developers: 50% are product companies but few of them export into EU, 30% are services companies working worldwide and 20% are System integrators OT-IT. </w:t>
      </w:r>
    </w:p>
    <w:p w:rsidR="008D2F97" w:rsidRPr="008D2F97" w:rsidRDefault="008D2F97" w:rsidP="00720DCE">
      <w:pPr>
        <w:rPr>
          <w:u w:val="single"/>
          <w:lang w:val="en-US"/>
        </w:rPr>
      </w:pPr>
      <w:r>
        <w:rPr>
          <w:lang w:val="en-US"/>
        </w:rPr>
        <w:t>So, now when we won project for Hannover Messe 2020, what should our strategy to EU?</w:t>
      </w:r>
    </w:p>
    <w:p w:rsidR="00720DCE" w:rsidRPr="001C3F36" w:rsidRDefault="008D2F97" w:rsidP="00720DCE">
      <w:r>
        <w:rPr>
          <w:u w:val="single"/>
          <w:lang w:val="en-US"/>
        </w:rPr>
        <w:t>Main</w:t>
      </w:r>
      <w:r w:rsidRPr="008D2F97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challenge</w:t>
      </w:r>
      <w:r w:rsidR="00720DCE">
        <w:rPr>
          <w:u w:val="single"/>
        </w:rPr>
        <w:t xml:space="preserve">: </w:t>
      </w:r>
      <w:r w:rsidR="00720DCE">
        <w:rPr>
          <w:b/>
        </w:rPr>
        <w:t xml:space="preserve"> </w:t>
      </w:r>
      <w:r>
        <w:rPr>
          <w:b/>
          <w:lang w:val="en-US"/>
        </w:rPr>
        <w:t xml:space="preserve">what should be the best mix (product – services – science potential) and right positioning of Ukrainian Industry 4.0 regarding EU opportunities </w:t>
      </w:r>
    </w:p>
    <w:p w:rsidR="00720DCE" w:rsidRDefault="008D2F97" w:rsidP="00720DCE">
      <w:pPr>
        <w:rPr>
          <w:u w:val="single"/>
        </w:rPr>
      </w:pPr>
      <w:r>
        <w:rPr>
          <w:u w:val="single"/>
          <w:lang w:val="en-US"/>
        </w:rPr>
        <w:t>Main questions to discuss</w:t>
      </w:r>
      <w:r w:rsidR="00720DCE">
        <w:rPr>
          <w:u w:val="single"/>
        </w:rPr>
        <w:t>:</w:t>
      </w:r>
    </w:p>
    <w:p w:rsidR="00720DCE" w:rsidRDefault="008D2F97" w:rsidP="00720DCE">
      <w:pPr>
        <w:pStyle w:val="a3"/>
        <w:numPr>
          <w:ilvl w:val="0"/>
          <w:numId w:val="12"/>
        </w:numPr>
      </w:pPr>
      <w:r>
        <w:rPr>
          <w:lang w:val="en-US"/>
        </w:rPr>
        <w:t>Your opinion about the focus that should be in Hannover Messe (more about our innovative products, or services, or</w:t>
      </w:r>
      <w:r w:rsidR="00040FDF">
        <w:rPr>
          <w:lang w:val="en-US"/>
        </w:rPr>
        <w:t xml:space="preserve"> innovation potential)?</w:t>
      </w:r>
    </w:p>
    <w:p w:rsidR="00720DCE" w:rsidRDefault="00040FDF" w:rsidP="00720DCE">
      <w:pPr>
        <w:pStyle w:val="a3"/>
        <w:numPr>
          <w:ilvl w:val="0"/>
          <w:numId w:val="12"/>
        </w:numPr>
      </w:pPr>
      <w:r>
        <w:rPr>
          <w:lang w:val="en-US"/>
        </w:rPr>
        <w:t>What should be other important messages to communicate in Hannover to all kind of stakeholders</w:t>
      </w:r>
    </w:p>
    <w:p w:rsidR="00720DCE" w:rsidRPr="0048218D" w:rsidRDefault="00040FDF" w:rsidP="00720DCE">
      <w:pPr>
        <w:pStyle w:val="a3"/>
        <w:numPr>
          <w:ilvl w:val="0"/>
          <w:numId w:val="12"/>
        </w:numPr>
      </w:pPr>
      <w:r>
        <w:rPr>
          <w:lang w:val="en-US"/>
        </w:rPr>
        <w:t>How are other initiatives and action you (as APPAU members) expect with regard to the project Hannover Messe 2020?</w:t>
      </w:r>
    </w:p>
    <w:p w:rsidR="00720DCE" w:rsidRDefault="00040FDF" w:rsidP="00720DCE">
      <w:r>
        <w:rPr>
          <w:u w:val="single"/>
          <w:lang w:val="en-US"/>
        </w:rPr>
        <w:t>To</w:t>
      </w:r>
      <w:r w:rsidRPr="00040FDF">
        <w:rPr>
          <w:u w:val="single"/>
        </w:rPr>
        <w:t xml:space="preserve"> </w:t>
      </w:r>
      <w:r>
        <w:rPr>
          <w:u w:val="single"/>
          <w:lang w:val="en-US"/>
        </w:rPr>
        <w:t>whom</w:t>
      </w:r>
      <w:r w:rsidRPr="00040FDF">
        <w:rPr>
          <w:u w:val="single"/>
        </w:rPr>
        <w:t xml:space="preserve"> </w:t>
      </w:r>
      <w:r>
        <w:rPr>
          <w:u w:val="single"/>
          <w:lang w:val="en-US"/>
        </w:rPr>
        <w:t>this</w:t>
      </w:r>
      <w:r w:rsidRPr="00040FDF">
        <w:rPr>
          <w:u w:val="single"/>
        </w:rPr>
        <w:t xml:space="preserve"> </w:t>
      </w:r>
      <w:r>
        <w:rPr>
          <w:u w:val="single"/>
          <w:lang w:val="en-US"/>
        </w:rPr>
        <w:t>group</w:t>
      </w:r>
      <w:r w:rsidR="00720DCE" w:rsidRPr="00380428">
        <w:rPr>
          <w:u w:val="single"/>
        </w:rPr>
        <w:t>:</w:t>
      </w:r>
      <w:r w:rsidR="00720DCE">
        <w:t xml:space="preserve"> </w:t>
      </w:r>
      <w:r w:rsidRPr="00040FDF">
        <w:t xml:space="preserve"> </w:t>
      </w:r>
      <w:r>
        <w:rPr>
          <w:lang w:val="en-US"/>
        </w:rPr>
        <w:t>we</w:t>
      </w:r>
      <w:r w:rsidRPr="00040FDF">
        <w:t xml:space="preserve"> </w:t>
      </w:r>
      <w:r>
        <w:rPr>
          <w:lang w:val="en-US"/>
        </w:rPr>
        <w:t>invite</w:t>
      </w:r>
      <w:r w:rsidRPr="00040FDF">
        <w:t xml:space="preserve"> </w:t>
      </w:r>
      <w:r>
        <w:rPr>
          <w:lang w:val="en-US"/>
        </w:rPr>
        <w:t>to</w:t>
      </w:r>
      <w:r w:rsidRPr="00040FDF">
        <w:t xml:space="preserve"> </w:t>
      </w:r>
      <w:r>
        <w:rPr>
          <w:lang w:val="en-US"/>
        </w:rPr>
        <w:t>this</w:t>
      </w:r>
      <w:r w:rsidRPr="00040FDF">
        <w:t xml:space="preserve"> </w:t>
      </w:r>
      <w:r>
        <w:rPr>
          <w:lang w:val="en-US"/>
        </w:rPr>
        <w:t>group</w:t>
      </w:r>
      <w:r w:rsidRPr="00040FDF">
        <w:t xml:space="preserve"> </w:t>
      </w:r>
      <w:r>
        <w:rPr>
          <w:lang w:val="en-US"/>
        </w:rPr>
        <w:t>all</w:t>
      </w:r>
      <w:r w:rsidRPr="00040FDF">
        <w:t xml:space="preserve"> </w:t>
      </w:r>
      <w:r>
        <w:rPr>
          <w:lang w:val="en-US"/>
        </w:rPr>
        <w:t>English</w:t>
      </w:r>
      <w:r w:rsidRPr="00040FDF">
        <w:t xml:space="preserve"> </w:t>
      </w:r>
      <w:r>
        <w:rPr>
          <w:lang w:val="en-US"/>
        </w:rPr>
        <w:t>speaking</w:t>
      </w:r>
      <w:r w:rsidRPr="00040FDF">
        <w:t xml:space="preserve"> </w:t>
      </w:r>
      <w:r>
        <w:rPr>
          <w:lang w:val="en-US"/>
        </w:rPr>
        <w:t>representative</w:t>
      </w:r>
      <w:r w:rsidRPr="00040FDF">
        <w:t xml:space="preserve"> </w:t>
      </w:r>
      <w:r>
        <w:rPr>
          <w:lang w:val="en-US"/>
        </w:rPr>
        <w:t>of</w:t>
      </w:r>
      <w:r w:rsidRPr="00040FDF">
        <w:t xml:space="preserve"> </w:t>
      </w:r>
      <w:r>
        <w:rPr>
          <w:lang w:val="en-US"/>
        </w:rPr>
        <w:t>our</w:t>
      </w:r>
      <w:r w:rsidRPr="00040FDF">
        <w:t xml:space="preserve"> </w:t>
      </w:r>
      <w:r>
        <w:rPr>
          <w:lang w:val="en-US"/>
        </w:rPr>
        <w:t>innovators</w:t>
      </w:r>
      <w:r w:rsidRPr="00040FDF">
        <w:t xml:space="preserve"> </w:t>
      </w:r>
      <w:r>
        <w:rPr>
          <w:lang w:val="en-US"/>
        </w:rPr>
        <w:t>and</w:t>
      </w:r>
      <w:r w:rsidRPr="00040FDF">
        <w:t xml:space="preserve"> </w:t>
      </w:r>
      <w:r>
        <w:rPr>
          <w:lang w:val="en-US"/>
        </w:rPr>
        <w:t>also</w:t>
      </w:r>
      <w:r w:rsidRPr="00040FDF">
        <w:t xml:space="preserve"> </w:t>
      </w:r>
      <w:r>
        <w:rPr>
          <w:lang w:val="en-US"/>
        </w:rPr>
        <w:t>of</w:t>
      </w:r>
      <w:r w:rsidRPr="00040FDF">
        <w:t xml:space="preserve"> </w:t>
      </w:r>
      <w:r>
        <w:rPr>
          <w:lang w:val="en-US"/>
        </w:rPr>
        <w:t>partners</w:t>
      </w:r>
      <w:r w:rsidR="00720DCE">
        <w:t>.</w:t>
      </w:r>
      <w:r w:rsidR="0075296E">
        <w:t xml:space="preserve">  </w:t>
      </w:r>
      <w:r>
        <w:rPr>
          <w:u w:val="single"/>
          <w:lang w:val="en-US"/>
        </w:rPr>
        <w:t>Moderator</w:t>
      </w:r>
      <w:r w:rsidR="00720DCE">
        <w:t xml:space="preserve">: </w:t>
      </w:r>
      <w:r w:rsidR="00720DCE">
        <w:rPr>
          <w:lang w:val="fr-FR"/>
        </w:rPr>
        <w:t>Alexandre</w:t>
      </w:r>
      <w:r w:rsidR="00720DCE" w:rsidRPr="00C12AF0">
        <w:t xml:space="preserve"> </w:t>
      </w:r>
      <w:r w:rsidR="00720DCE">
        <w:rPr>
          <w:lang w:val="fr-FR"/>
        </w:rPr>
        <w:t>Yurchak</w:t>
      </w:r>
      <w:r w:rsidR="008D2F97">
        <w:t xml:space="preserve"> (</w:t>
      </w:r>
      <w:r w:rsidR="008D2F97">
        <w:rPr>
          <w:lang w:val="en-US"/>
        </w:rPr>
        <w:t>APPAU</w:t>
      </w:r>
      <w:r w:rsidR="008D2F97" w:rsidRPr="00C12AF0">
        <w:t>)</w:t>
      </w:r>
    </w:p>
    <w:p w:rsidR="006901DA" w:rsidRDefault="006901DA" w:rsidP="00720DCE">
      <w:r>
        <w:t xml:space="preserve">По результатам дискусії сформульований більш поний концепт інтеграції в глобальні ланцюжки цінності, - див. </w:t>
      </w:r>
      <w:hyperlink r:id="rId6" w:history="1">
        <w:r w:rsidRPr="006901DA">
          <w:rPr>
            <w:rStyle w:val="a4"/>
          </w:rPr>
          <w:t>файл</w:t>
        </w:r>
      </w:hyperlink>
      <w:r>
        <w:t xml:space="preserve">. Якщо коротко, мова про 5 напрямів інтеграції – </w:t>
      </w:r>
    </w:p>
    <w:p w:rsidR="006901DA" w:rsidRPr="00E82E8E" w:rsidRDefault="006901DA" w:rsidP="006901DA">
      <w:pPr>
        <w:rPr>
          <w:b/>
          <w:bCs/>
          <w:color w:val="0070C0"/>
          <w:sz w:val="24"/>
          <w:szCs w:val="24"/>
        </w:rPr>
      </w:pPr>
      <w:r w:rsidRPr="00E82E8E">
        <w:rPr>
          <w:b/>
          <w:bCs/>
          <w:color w:val="0070C0"/>
          <w:sz w:val="24"/>
          <w:szCs w:val="24"/>
        </w:rPr>
        <w:t xml:space="preserve">1) </w:t>
      </w:r>
      <w:r w:rsidRPr="00E82E8E">
        <w:rPr>
          <w:b/>
          <w:bCs/>
          <w:color w:val="0070C0"/>
          <w:sz w:val="24"/>
          <w:szCs w:val="24"/>
          <w:lang w:val="en-US"/>
        </w:rPr>
        <w:t>Services</w:t>
      </w:r>
      <w:r w:rsidRPr="00E82E8E">
        <w:rPr>
          <w:b/>
          <w:bCs/>
          <w:color w:val="0070C0"/>
          <w:sz w:val="24"/>
          <w:szCs w:val="24"/>
        </w:rPr>
        <w:t xml:space="preserve"> (=</w:t>
      </w:r>
      <w:r w:rsidRPr="00E82E8E">
        <w:rPr>
          <w:b/>
          <w:bCs/>
          <w:color w:val="0070C0"/>
          <w:sz w:val="24"/>
          <w:szCs w:val="24"/>
          <w:lang w:val="en-US"/>
        </w:rPr>
        <w:t>Industry</w:t>
      </w:r>
      <w:r w:rsidRPr="00E82E8E">
        <w:rPr>
          <w:b/>
          <w:bCs/>
          <w:color w:val="0070C0"/>
          <w:sz w:val="24"/>
          <w:szCs w:val="24"/>
        </w:rPr>
        <w:t xml:space="preserve"> </w:t>
      </w:r>
      <w:r w:rsidRPr="00E82E8E">
        <w:rPr>
          <w:b/>
          <w:bCs/>
          <w:color w:val="0070C0"/>
          <w:sz w:val="24"/>
          <w:szCs w:val="24"/>
          <w:lang w:val="en-US"/>
        </w:rPr>
        <w:t>as</w:t>
      </w:r>
      <w:r w:rsidRPr="00E82E8E">
        <w:rPr>
          <w:b/>
          <w:bCs/>
          <w:color w:val="0070C0"/>
          <w:sz w:val="24"/>
          <w:szCs w:val="24"/>
        </w:rPr>
        <w:t xml:space="preserve"> </w:t>
      </w:r>
      <w:r w:rsidRPr="00E82E8E">
        <w:rPr>
          <w:b/>
          <w:bCs/>
          <w:color w:val="0070C0"/>
          <w:sz w:val="24"/>
          <w:szCs w:val="24"/>
          <w:lang w:val="en-US"/>
        </w:rPr>
        <w:t>a</w:t>
      </w:r>
      <w:r w:rsidRPr="00E82E8E">
        <w:rPr>
          <w:b/>
          <w:bCs/>
          <w:color w:val="0070C0"/>
          <w:sz w:val="24"/>
          <w:szCs w:val="24"/>
        </w:rPr>
        <w:t xml:space="preserve"> </w:t>
      </w:r>
      <w:r w:rsidRPr="00E82E8E">
        <w:rPr>
          <w:b/>
          <w:bCs/>
          <w:color w:val="0070C0"/>
          <w:sz w:val="24"/>
          <w:szCs w:val="24"/>
          <w:lang w:val="en-US"/>
        </w:rPr>
        <w:t>Service</w:t>
      </w:r>
      <w:r w:rsidRPr="00E82E8E">
        <w:rPr>
          <w:b/>
          <w:bCs/>
          <w:color w:val="0070C0"/>
          <w:sz w:val="24"/>
          <w:szCs w:val="24"/>
        </w:rPr>
        <w:t>)</w:t>
      </w:r>
    </w:p>
    <w:p w:rsidR="006901DA" w:rsidRPr="00E82E8E" w:rsidRDefault="006901DA" w:rsidP="006901DA">
      <w:pPr>
        <w:rPr>
          <w:color w:val="0070C0"/>
          <w:sz w:val="24"/>
          <w:szCs w:val="24"/>
          <w:lang w:val="en-US"/>
        </w:rPr>
      </w:pPr>
      <w:r w:rsidRPr="00E82E8E">
        <w:rPr>
          <w:color w:val="0070C0"/>
          <w:sz w:val="24"/>
          <w:szCs w:val="24"/>
          <w:lang w:val="en-US"/>
        </w:rPr>
        <w:t>5 sub-segments of services are to be considered</w:t>
      </w:r>
    </w:p>
    <w:p w:rsidR="006901DA" w:rsidRPr="00E82E8E" w:rsidRDefault="006901DA" w:rsidP="006901DA">
      <w:pPr>
        <w:pStyle w:val="a3"/>
        <w:numPr>
          <w:ilvl w:val="0"/>
          <w:numId w:val="14"/>
        </w:numPr>
        <w:rPr>
          <w:color w:val="0070C0"/>
          <w:sz w:val="24"/>
          <w:szCs w:val="24"/>
          <w:lang w:val="en-US"/>
        </w:rPr>
      </w:pPr>
      <w:r w:rsidRPr="00E82E8E">
        <w:rPr>
          <w:color w:val="0070C0"/>
          <w:sz w:val="24"/>
          <w:szCs w:val="24"/>
          <w:u w:val="single"/>
          <w:lang w:val="en-US"/>
        </w:rPr>
        <w:t>Software development</w:t>
      </w:r>
      <w:r w:rsidRPr="00E82E8E">
        <w:rPr>
          <w:color w:val="0070C0"/>
          <w:sz w:val="24"/>
          <w:szCs w:val="24"/>
          <w:lang w:val="en-US"/>
        </w:rPr>
        <w:t>. We include here 2 kind of developers, Product and  ‘multi-service’ companies (outsourcing). This is the biggest and fast growing segment in Ukraine.</w:t>
      </w:r>
    </w:p>
    <w:p w:rsidR="006901DA" w:rsidRPr="00E82E8E" w:rsidRDefault="006901DA" w:rsidP="006901DA">
      <w:pPr>
        <w:pStyle w:val="a3"/>
        <w:numPr>
          <w:ilvl w:val="0"/>
          <w:numId w:val="14"/>
        </w:numPr>
        <w:rPr>
          <w:color w:val="0070C0"/>
          <w:sz w:val="24"/>
          <w:szCs w:val="24"/>
          <w:lang w:val="en-US"/>
        </w:rPr>
      </w:pPr>
      <w:r w:rsidRPr="00E82E8E">
        <w:rPr>
          <w:color w:val="0070C0"/>
          <w:sz w:val="24"/>
          <w:szCs w:val="24"/>
          <w:u w:val="single"/>
          <w:lang w:val="en-US"/>
        </w:rPr>
        <w:t xml:space="preserve">Hardware development </w:t>
      </w:r>
      <w:r w:rsidRPr="00E82E8E">
        <w:rPr>
          <w:color w:val="0070C0"/>
          <w:sz w:val="24"/>
          <w:szCs w:val="24"/>
          <w:lang w:val="en-US"/>
        </w:rPr>
        <w:t>(electronic, mechatronics, drones, mobility and so on)</w:t>
      </w:r>
    </w:p>
    <w:p w:rsidR="006901DA" w:rsidRPr="00E82E8E" w:rsidRDefault="006901DA" w:rsidP="006901DA">
      <w:pPr>
        <w:pStyle w:val="a3"/>
        <w:numPr>
          <w:ilvl w:val="0"/>
          <w:numId w:val="14"/>
        </w:numPr>
        <w:rPr>
          <w:color w:val="0070C0"/>
          <w:sz w:val="24"/>
          <w:szCs w:val="24"/>
          <w:lang w:val="en-US"/>
        </w:rPr>
      </w:pPr>
      <w:r w:rsidRPr="00E82E8E">
        <w:rPr>
          <w:color w:val="0070C0"/>
          <w:sz w:val="24"/>
          <w:szCs w:val="24"/>
          <w:u w:val="single"/>
          <w:lang w:val="en-US"/>
        </w:rPr>
        <w:t>Engineering design</w:t>
      </w:r>
      <w:r w:rsidRPr="00E82E8E">
        <w:rPr>
          <w:color w:val="0070C0"/>
          <w:sz w:val="24"/>
          <w:szCs w:val="24"/>
          <w:lang w:val="en-US"/>
        </w:rPr>
        <w:t xml:space="preserve"> (all kinds, mechanical, electronic, construction, automation, process…)</w:t>
      </w:r>
    </w:p>
    <w:p w:rsidR="006901DA" w:rsidRPr="00E82E8E" w:rsidRDefault="006901DA" w:rsidP="006901DA">
      <w:pPr>
        <w:pStyle w:val="a3"/>
        <w:numPr>
          <w:ilvl w:val="0"/>
          <w:numId w:val="14"/>
        </w:numPr>
        <w:rPr>
          <w:color w:val="0070C0"/>
          <w:sz w:val="24"/>
          <w:szCs w:val="24"/>
          <w:lang w:val="en-US"/>
        </w:rPr>
      </w:pPr>
      <w:r w:rsidRPr="00E82E8E">
        <w:rPr>
          <w:color w:val="0070C0"/>
          <w:sz w:val="24"/>
          <w:szCs w:val="24"/>
          <w:u w:val="single"/>
          <w:lang w:val="en-US"/>
        </w:rPr>
        <w:t>System integration</w:t>
      </w:r>
      <w:r w:rsidRPr="00E82E8E">
        <w:rPr>
          <w:color w:val="0070C0"/>
          <w:sz w:val="24"/>
          <w:szCs w:val="24"/>
          <w:lang w:val="en-US"/>
        </w:rPr>
        <w:t xml:space="preserve"> (all kind, Control system (OT), IT, OT-IT)</w:t>
      </w:r>
    </w:p>
    <w:p w:rsidR="006901DA" w:rsidRPr="00E82E8E" w:rsidRDefault="006901DA" w:rsidP="006901DA">
      <w:pPr>
        <w:pStyle w:val="a3"/>
        <w:numPr>
          <w:ilvl w:val="0"/>
          <w:numId w:val="14"/>
        </w:numPr>
        <w:rPr>
          <w:color w:val="0070C0"/>
          <w:sz w:val="24"/>
          <w:szCs w:val="24"/>
          <w:lang w:val="en-US"/>
        </w:rPr>
      </w:pPr>
      <w:r w:rsidRPr="00E82E8E">
        <w:rPr>
          <w:color w:val="0070C0"/>
          <w:sz w:val="24"/>
          <w:szCs w:val="24"/>
          <w:u w:val="single"/>
          <w:lang w:val="en-US"/>
        </w:rPr>
        <w:t>Manufacturing outsourcing</w:t>
      </w:r>
      <w:r w:rsidRPr="00E82E8E">
        <w:rPr>
          <w:color w:val="0070C0"/>
          <w:sz w:val="24"/>
          <w:szCs w:val="24"/>
          <w:lang w:val="en-US"/>
        </w:rPr>
        <w:t xml:space="preserve"> (here, targets should be well specified)</w:t>
      </w:r>
    </w:p>
    <w:p w:rsidR="006901DA" w:rsidRPr="00E82E8E" w:rsidRDefault="006901DA" w:rsidP="006901DA">
      <w:pPr>
        <w:rPr>
          <w:color w:val="0070C0"/>
          <w:sz w:val="24"/>
          <w:szCs w:val="24"/>
          <w:lang w:val="en-US"/>
        </w:rPr>
      </w:pPr>
      <w:r w:rsidRPr="00E82E8E">
        <w:rPr>
          <w:color w:val="0070C0"/>
          <w:sz w:val="24"/>
          <w:szCs w:val="24"/>
          <w:lang w:val="en-US"/>
        </w:rPr>
        <w:t>Ukrainian engineering developers can be strong resource base for German (EU) R&amp;D centers and industrial brands. The name ‘Land4developers’ reflects this idea.</w:t>
      </w:r>
    </w:p>
    <w:p w:rsidR="006901DA" w:rsidRPr="00E82E8E" w:rsidRDefault="006901DA" w:rsidP="006901DA">
      <w:pPr>
        <w:rPr>
          <w:color w:val="0070C0"/>
          <w:sz w:val="24"/>
          <w:szCs w:val="24"/>
          <w:lang w:val="en-US"/>
        </w:rPr>
      </w:pPr>
      <w:r w:rsidRPr="00E82E8E">
        <w:rPr>
          <w:b/>
          <w:bCs/>
          <w:color w:val="0070C0"/>
          <w:sz w:val="24"/>
          <w:szCs w:val="24"/>
          <w:lang w:val="en-US"/>
        </w:rPr>
        <w:t xml:space="preserve">2) Research and technology </w:t>
      </w:r>
      <w:r w:rsidRPr="00E82E8E">
        <w:rPr>
          <w:color w:val="0070C0"/>
          <w:sz w:val="24"/>
          <w:szCs w:val="24"/>
          <w:lang w:val="en-US"/>
        </w:rPr>
        <w:t>(done through Universities and Sciences institutions)</w:t>
      </w:r>
    </w:p>
    <w:p w:rsidR="006901DA" w:rsidRPr="00E82E8E" w:rsidRDefault="006901DA" w:rsidP="006901DA">
      <w:pPr>
        <w:rPr>
          <w:color w:val="0070C0"/>
          <w:sz w:val="24"/>
          <w:szCs w:val="24"/>
          <w:lang w:val="en-US"/>
        </w:rPr>
      </w:pPr>
      <w:r w:rsidRPr="00E82E8E">
        <w:rPr>
          <w:color w:val="0070C0"/>
          <w:sz w:val="24"/>
          <w:szCs w:val="24"/>
          <w:lang w:val="en-US"/>
        </w:rPr>
        <w:t>Ukrainian science institutes already have experience of collaboration with German institutions in  such sub-segments as</w:t>
      </w:r>
    </w:p>
    <w:p w:rsidR="006901DA" w:rsidRPr="00E82E8E" w:rsidRDefault="006901DA" w:rsidP="006901DA">
      <w:pPr>
        <w:pStyle w:val="a3"/>
        <w:numPr>
          <w:ilvl w:val="0"/>
          <w:numId w:val="15"/>
        </w:numPr>
        <w:rPr>
          <w:color w:val="0070C0"/>
          <w:sz w:val="24"/>
          <w:szCs w:val="24"/>
        </w:rPr>
      </w:pPr>
      <w:r w:rsidRPr="00E82E8E">
        <w:rPr>
          <w:color w:val="0070C0"/>
          <w:sz w:val="24"/>
          <w:szCs w:val="24"/>
          <w:lang w:val="en-US"/>
        </w:rPr>
        <w:t>Research per an application</w:t>
      </w:r>
    </w:p>
    <w:p w:rsidR="006901DA" w:rsidRPr="00E82E8E" w:rsidRDefault="006901DA" w:rsidP="006901DA">
      <w:pPr>
        <w:pStyle w:val="a3"/>
        <w:numPr>
          <w:ilvl w:val="0"/>
          <w:numId w:val="15"/>
        </w:numPr>
        <w:rPr>
          <w:color w:val="0070C0"/>
          <w:sz w:val="24"/>
          <w:szCs w:val="24"/>
        </w:rPr>
      </w:pPr>
      <w:r w:rsidRPr="00E82E8E">
        <w:rPr>
          <w:color w:val="0070C0"/>
          <w:sz w:val="24"/>
          <w:szCs w:val="24"/>
          <w:lang w:val="en-US"/>
        </w:rPr>
        <w:t>Labs research</w:t>
      </w:r>
    </w:p>
    <w:p w:rsidR="006901DA" w:rsidRPr="00E82E8E" w:rsidRDefault="006901DA" w:rsidP="006901DA">
      <w:pPr>
        <w:pStyle w:val="a3"/>
        <w:numPr>
          <w:ilvl w:val="0"/>
          <w:numId w:val="15"/>
        </w:numPr>
        <w:rPr>
          <w:color w:val="0070C0"/>
          <w:sz w:val="24"/>
          <w:szCs w:val="24"/>
        </w:rPr>
      </w:pPr>
      <w:r w:rsidRPr="00E82E8E">
        <w:rPr>
          <w:color w:val="0070C0"/>
          <w:sz w:val="24"/>
          <w:szCs w:val="24"/>
          <w:lang w:val="en-US"/>
        </w:rPr>
        <w:t>Technology transfer</w:t>
      </w:r>
    </w:p>
    <w:p w:rsidR="006901DA" w:rsidRPr="00E82E8E" w:rsidRDefault="006901DA" w:rsidP="006901DA">
      <w:pPr>
        <w:pStyle w:val="a3"/>
        <w:numPr>
          <w:ilvl w:val="0"/>
          <w:numId w:val="15"/>
        </w:numPr>
        <w:rPr>
          <w:color w:val="0070C0"/>
          <w:sz w:val="24"/>
          <w:szCs w:val="24"/>
        </w:rPr>
      </w:pPr>
      <w:r w:rsidRPr="00E82E8E">
        <w:rPr>
          <w:color w:val="0070C0"/>
          <w:sz w:val="24"/>
          <w:szCs w:val="24"/>
          <w:lang w:val="en-US"/>
        </w:rPr>
        <w:t>Educations</w:t>
      </w:r>
    </w:p>
    <w:p w:rsidR="006901DA" w:rsidRPr="00E82E8E" w:rsidRDefault="006901DA" w:rsidP="006901DA">
      <w:pPr>
        <w:pStyle w:val="a3"/>
        <w:numPr>
          <w:ilvl w:val="0"/>
          <w:numId w:val="15"/>
        </w:numPr>
        <w:rPr>
          <w:color w:val="0070C0"/>
          <w:sz w:val="24"/>
          <w:szCs w:val="24"/>
        </w:rPr>
      </w:pPr>
      <w:r w:rsidRPr="00E82E8E">
        <w:rPr>
          <w:color w:val="0070C0"/>
          <w:sz w:val="24"/>
          <w:szCs w:val="24"/>
          <w:lang w:val="en-US"/>
        </w:rPr>
        <w:t>Exchange and standards</w:t>
      </w:r>
    </w:p>
    <w:p w:rsidR="006901DA" w:rsidRPr="00E82E8E" w:rsidRDefault="006901DA" w:rsidP="006901DA">
      <w:pPr>
        <w:rPr>
          <w:color w:val="0070C0"/>
          <w:sz w:val="24"/>
          <w:szCs w:val="24"/>
          <w:lang w:val="en-US"/>
        </w:rPr>
      </w:pPr>
      <w:r w:rsidRPr="00E82E8E">
        <w:rPr>
          <w:color w:val="0070C0"/>
          <w:sz w:val="24"/>
          <w:szCs w:val="24"/>
          <w:lang w:val="en-US"/>
        </w:rPr>
        <w:t>Tens of Ukrainian Universities and Science institute already participate in EU programs, in particular in Industry 4.0 area.</w:t>
      </w:r>
    </w:p>
    <w:p w:rsidR="006901DA" w:rsidRPr="00E82E8E" w:rsidRDefault="006901DA" w:rsidP="006901DA">
      <w:pPr>
        <w:rPr>
          <w:color w:val="0070C0"/>
          <w:sz w:val="24"/>
          <w:szCs w:val="24"/>
          <w:lang w:val="en-US"/>
        </w:rPr>
      </w:pPr>
      <w:r w:rsidRPr="00E82E8E">
        <w:rPr>
          <w:b/>
          <w:bCs/>
          <w:color w:val="0070C0"/>
          <w:sz w:val="24"/>
          <w:szCs w:val="24"/>
          <w:lang w:val="en-US"/>
        </w:rPr>
        <w:lastRenderedPageBreak/>
        <w:t>3) Industrial startups</w:t>
      </w:r>
    </w:p>
    <w:p w:rsidR="006901DA" w:rsidRPr="00E82E8E" w:rsidRDefault="006901DA" w:rsidP="006901DA">
      <w:pPr>
        <w:rPr>
          <w:color w:val="0070C0"/>
          <w:sz w:val="24"/>
          <w:szCs w:val="24"/>
          <w:lang w:val="en-US"/>
        </w:rPr>
      </w:pPr>
      <w:r w:rsidRPr="00E82E8E">
        <w:rPr>
          <w:color w:val="0070C0"/>
          <w:sz w:val="24"/>
          <w:szCs w:val="24"/>
          <w:lang w:val="en-US"/>
        </w:rPr>
        <w:t>Here there are main topics of ecosystems and funds.</w:t>
      </w:r>
    </w:p>
    <w:p w:rsidR="006901DA" w:rsidRPr="00E82E8E" w:rsidRDefault="006901DA" w:rsidP="006901DA">
      <w:pPr>
        <w:rPr>
          <w:color w:val="0070C0"/>
          <w:sz w:val="24"/>
          <w:szCs w:val="24"/>
          <w:lang w:val="en-US"/>
        </w:rPr>
      </w:pPr>
      <w:r w:rsidRPr="00E82E8E">
        <w:rPr>
          <w:color w:val="0070C0"/>
          <w:sz w:val="24"/>
          <w:szCs w:val="24"/>
          <w:lang w:val="en-US"/>
        </w:rPr>
        <w:t>We have already many exchanges around EU programs and bi-lateral exchanges. The program TechUkraine should enlarged with regard to this topic.</w:t>
      </w:r>
    </w:p>
    <w:p w:rsidR="006901DA" w:rsidRPr="00E82E8E" w:rsidRDefault="006901DA" w:rsidP="006901DA">
      <w:pPr>
        <w:rPr>
          <w:b/>
          <w:bCs/>
          <w:color w:val="0070C0"/>
          <w:sz w:val="24"/>
          <w:szCs w:val="24"/>
          <w:lang w:val="en-US"/>
        </w:rPr>
      </w:pPr>
      <w:r w:rsidRPr="00E82E8E">
        <w:rPr>
          <w:b/>
          <w:bCs/>
          <w:color w:val="0070C0"/>
          <w:sz w:val="24"/>
          <w:szCs w:val="24"/>
          <w:lang w:val="en-US"/>
        </w:rPr>
        <w:t>4) Brand ecosystems</w:t>
      </w:r>
    </w:p>
    <w:p w:rsidR="006901DA" w:rsidRPr="00E82E8E" w:rsidRDefault="006901DA" w:rsidP="006901DA">
      <w:pPr>
        <w:rPr>
          <w:color w:val="0070C0"/>
          <w:sz w:val="24"/>
          <w:szCs w:val="24"/>
          <w:lang w:val="en-US"/>
        </w:rPr>
      </w:pPr>
      <w:r w:rsidRPr="00E82E8E">
        <w:rPr>
          <w:color w:val="0070C0"/>
          <w:sz w:val="24"/>
          <w:szCs w:val="24"/>
          <w:lang w:val="en-US"/>
        </w:rPr>
        <w:t>In ‘tiers’ value chain Ukrainian developers are not ‘tier 1’ or ‘tier 2’. This is a big issue we can overcome only through acceleration of clusterization processes. So, clusterization and smart-specialization are also topics of discussion, development and integration.</w:t>
      </w:r>
    </w:p>
    <w:p w:rsidR="006901DA" w:rsidRPr="006901DA" w:rsidRDefault="006901DA" w:rsidP="00720DCE">
      <w:pPr>
        <w:rPr>
          <w:lang w:val="en-US"/>
        </w:rPr>
      </w:pPr>
    </w:p>
    <w:p w:rsidR="00E82E8E" w:rsidRDefault="00E82E8E">
      <w:r>
        <w:br w:type="page"/>
      </w:r>
    </w:p>
    <w:p w:rsidR="00040FDF" w:rsidRPr="00720DCE" w:rsidRDefault="00040FDF" w:rsidP="00040FDF">
      <w:pPr>
        <w:rPr>
          <w:b/>
          <w:sz w:val="32"/>
          <w:szCs w:val="32"/>
        </w:rPr>
      </w:pPr>
      <w:r w:rsidRPr="00720DCE">
        <w:rPr>
          <w:b/>
          <w:sz w:val="32"/>
          <w:szCs w:val="32"/>
        </w:rPr>
        <w:lastRenderedPageBreak/>
        <w:t>Група «</w:t>
      </w:r>
      <w:r w:rsidRPr="00C12AF0">
        <w:rPr>
          <w:b/>
          <w:sz w:val="32"/>
          <w:szCs w:val="32"/>
        </w:rPr>
        <w:t>Що таке цифрова (</w:t>
      </w:r>
      <w:r w:rsidR="00B957DE" w:rsidRPr="00C12AF0">
        <w:rPr>
          <w:b/>
          <w:sz w:val="32"/>
          <w:szCs w:val="32"/>
        </w:rPr>
        <w:t xml:space="preserve">4.0) </w:t>
      </w:r>
      <w:r w:rsidRPr="00C12AF0">
        <w:rPr>
          <w:b/>
          <w:sz w:val="32"/>
          <w:szCs w:val="32"/>
        </w:rPr>
        <w:t>компанія</w:t>
      </w:r>
      <w:r w:rsidR="00B957DE" w:rsidRPr="00C12AF0">
        <w:rPr>
          <w:b/>
          <w:sz w:val="32"/>
          <w:szCs w:val="32"/>
        </w:rPr>
        <w:t>?</w:t>
      </w:r>
      <w:r w:rsidRPr="00C12AF0">
        <w:rPr>
          <w:b/>
          <w:sz w:val="32"/>
          <w:szCs w:val="32"/>
        </w:rPr>
        <w:t>»</w:t>
      </w:r>
    </w:p>
    <w:p w:rsidR="00F90534" w:rsidRDefault="00040FDF" w:rsidP="00040FDF">
      <w:r w:rsidRPr="00040FDF">
        <w:rPr>
          <w:u w:val="single"/>
        </w:rPr>
        <w:t>Загальний контекст:</w:t>
      </w:r>
      <w:r w:rsidRPr="00040FDF">
        <w:t xml:space="preserve"> опитування</w:t>
      </w:r>
      <w:r w:rsidR="00B957DE">
        <w:t>,</w:t>
      </w:r>
      <w:r w:rsidRPr="00040FDF">
        <w:t xml:space="preserve"> що триває на Фейсбук, говорить, що цифрова комп</w:t>
      </w:r>
      <w:r w:rsidR="00F90534">
        <w:t>а</w:t>
      </w:r>
      <w:r w:rsidRPr="00040FDF">
        <w:t xml:space="preserve">нія – це та, що повністю діджиталізує свої бізнес-процеси, має культуру широкої співпраці </w:t>
      </w:r>
      <w:r w:rsidR="00F90534" w:rsidRPr="00F90534">
        <w:t>й</w:t>
      </w:r>
      <w:r w:rsidRPr="00040FDF">
        <w:t xml:space="preserve"> також Agile у всьому (розробки, проекти, менеджмент). АППАУ продовжує цей дискурс </w:t>
      </w:r>
      <w:hyperlink r:id="rId7" w:history="1">
        <w:r w:rsidRPr="00B957DE">
          <w:rPr>
            <w:rStyle w:val="a4"/>
          </w:rPr>
          <w:t>окремим аналізом</w:t>
        </w:r>
      </w:hyperlink>
      <w:r w:rsidRPr="00040FDF">
        <w:t>, в якому ставить питання про те, в які мірі ці характеристики вже притаманні нашим членам. Тобто, - це образ майбутнього чи, можливо, хтось вже знаходиться на цьому етапі розвитку</w:t>
      </w:r>
      <w:r w:rsidR="00F90534">
        <w:rPr>
          <w:lang w:val="ru-RU"/>
        </w:rPr>
        <w:t>?</w:t>
      </w:r>
      <w:r w:rsidRPr="00040FDF">
        <w:t xml:space="preserve"> </w:t>
      </w:r>
    </w:p>
    <w:p w:rsidR="00040FDF" w:rsidRPr="00040FDF" w:rsidRDefault="00040FDF" w:rsidP="00040FDF">
      <w:pPr>
        <w:rPr>
          <w:u w:val="single"/>
        </w:rPr>
      </w:pPr>
      <w:r>
        <w:t>Що стосується більшості своїх членів та учасників руху 4.0, виконавча дирекція аналізує статус використання наявних в асоціації цифрових сервісів (маркетинг, інфраструктура, закупівлі, бухгалтерія…), а також інших (консалтинг, навчання) й приходить до висновку, що респонденти радше говорять про майбутній образ, ніж нинішній – рівень використання більшості сервісів є дуже низьким. Ці 5—10% ставлять під сумнів також поняття «широкої співпраці». Адже</w:t>
      </w:r>
      <w:r w:rsidR="00B957DE">
        <w:t xml:space="preserve">, якщо ви не використовуєте цифрові послуги і </w:t>
      </w:r>
      <w:r>
        <w:t xml:space="preserve">не звертаєтесь </w:t>
      </w:r>
      <w:r w:rsidR="00B957DE">
        <w:t xml:space="preserve">до </w:t>
      </w:r>
      <w:r>
        <w:t>партнер</w:t>
      </w:r>
      <w:r w:rsidR="00B957DE">
        <w:t>ів</w:t>
      </w:r>
      <w:r>
        <w:t>, то про яку співпрацію мова?</w:t>
      </w:r>
    </w:p>
    <w:p w:rsidR="00040FDF" w:rsidRPr="001C3F36" w:rsidRDefault="00040FDF" w:rsidP="00040FDF">
      <w:r>
        <w:rPr>
          <w:u w:val="single"/>
        </w:rPr>
        <w:t xml:space="preserve">Головний виклик: </w:t>
      </w:r>
      <w:r>
        <w:rPr>
          <w:b/>
        </w:rPr>
        <w:t xml:space="preserve"> як </w:t>
      </w:r>
      <w:r w:rsidR="00B957DE">
        <w:rPr>
          <w:b/>
        </w:rPr>
        <w:t>покращити використання наявних цифрових та інших послуг в АППАУ</w:t>
      </w:r>
    </w:p>
    <w:p w:rsidR="00040FDF" w:rsidRDefault="00040FDF" w:rsidP="00040FDF">
      <w:pPr>
        <w:rPr>
          <w:u w:val="single"/>
        </w:rPr>
      </w:pPr>
      <w:r>
        <w:rPr>
          <w:u w:val="single"/>
        </w:rPr>
        <w:t>Головні питання для дискусії:</w:t>
      </w:r>
    </w:p>
    <w:p w:rsidR="00B957DE" w:rsidRDefault="00040FDF" w:rsidP="00040FDF">
      <w:pPr>
        <w:pStyle w:val="a3"/>
        <w:numPr>
          <w:ilvl w:val="0"/>
          <w:numId w:val="13"/>
        </w:numPr>
      </w:pPr>
      <w:r>
        <w:t xml:space="preserve">Які головні причини слабкого використання </w:t>
      </w:r>
      <w:r w:rsidR="00B957DE">
        <w:t xml:space="preserve">наявних сервісних послуг? </w:t>
      </w:r>
    </w:p>
    <w:p w:rsidR="00040FDF" w:rsidRDefault="00B957DE" w:rsidP="00040FDF">
      <w:pPr>
        <w:pStyle w:val="a3"/>
        <w:numPr>
          <w:ilvl w:val="0"/>
          <w:numId w:val="13"/>
        </w:numPr>
      </w:pPr>
      <w:r>
        <w:t xml:space="preserve">Як ці причини співвідносяться з бажанням та принципами широкої співпраці, й також з дійсно зростаючими показниками по ініціативам </w:t>
      </w:r>
      <w:r w:rsidRPr="00B957DE">
        <w:rPr>
          <w:lang w:val="ru-RU"/>
        </w:rPr>
        <w:t>#</w:t>
      </w:r>
      <w:r>
        <w:rPr>
          <w:lang w:val="ru-RU"/>
        </w:rPr>
        <w:t>Д</w:t>
      </w:r>
      <w:r>
        <w:t xml:space="preserve">ієвеПартнерство </w:t>
      </w:r>
    </w:p>
    <w:p w:rsidR="00040FDF" w:rsidRDefault="00B957DE" w:rsidP="00040FDF">
      <w:pPr>
        <w:pStyle w:val="a3"/>
        <w:numPr>
          <w:ilvl w:val="0"/>
          <w:numId w:val="13"/>
        </w:numPr>
      </w:pPr>
      <w:r>
        <w:t>Що мають зробити наші постачальники сервісних послуг, щоб покращити їх використання в спільноті АППАУ</w:t>
      </w:r>
    </w:p>
    <w:p w:rsidR="00040FDF" w:rsidRDefault="00040FDF" w:rsidP="00040FDF">
      <w:r w:rsidRPr="00380428">
        <w:rPr>
          <w:u w:val="single"/>
        </w:rPr>
        <w:t>Для кого ця група:</w:t>
      </w:r>
      <w:r>
        <w:t xml:space="preserve"> в</w:t>
      </w:r>
      <w:r w:rsidRPr="00AD441E">
        <w:t xml:space="preserve"> цю групу запрошуються </w:t>
      </w:r>
      <w:r w:rsidR="00B957DE">
        <w:t>постачальники сервісних послуг всіх видів</w:t>
      </w:r>
      <w:r w:rsidR="00C321D9">
        <w:t xml:space="preserve"> </w:t>
      </w:r>
    </w:p>
    <w:p w:rsidR="00040FDF" w:rsidRPr="00720DCE" w:rsidRDefault="00040FDF" w:rsidP="00040FDF">
      <w:r w:rsidRPr="007D336A">
        <w:rPr>
          <w:u w:val="single"/>
        </w:rPr>
        <w:t>Модератор</w:t>
      </w:r>
      <w:r>
        <w:t xml:space="preserve">: </w:t>
      </w:r>
      <w:r w:rsidR="006901DA" w:rsidRPr="006901DA">
        <w:rPr>
          <w:b/>
          <w:bCs/>
          <w:lang w:val="ru-RU"/>
        </w:rPr>
        <w:t>Сергій Сагун</w:t>
      </w:r>
      <w:r w:rsidR="00F90534">
        <w:rPr>
          <w:lang w:val="ru-RU"/>
        </w:rPr>
        <w:t xml:space="preserve"> </w:t>
      </w:r>
      <w:r>
        <w:t>(</w:t>
      </w:r>
      <w:r w:rsidR="00F90534">
        <w:rPr>
          <w:lang w:val="en-US"/>
        </w:rPr>
        <w:t>IT</w:t>
      </w:r>
      <w:r w:rsidR="00F90534" w:rsidRPr="00F90534">
        <w:rPr>
          <w:lang w:val="ru-RU"/>
        </w:rPr>
        <w:t>-</w:t>
      </w:r>
      <w:r w:rsidR="00F90534">
        <w:rPr>
          <w:lang w:val="en-US"/>
        </w:rPr>
        <w:t>Enterprise</w:t>
      </w:r>
      <w:r>
        <w:t>)</w:t>
      </w:r>
    </w:p>
    <w:p w:rsidR="006901DA" w:rsidRPr="006901DA" w:rsidRDefault="006901DA" w:rsidP="006901D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lang w:eastAsia="uk-UA"/>
        </w:rPr>
        <w:br/>
      </w:r>
      <w:r w:rsidRPr="006901DA">
        <w:rPr>
          <w:rFonts w:ascii="Calibri" w:eastAsia="Times New Roman" w:hAnsi="Calibri" w:cs="Calibri"/>
          <w:b/>
          <w:bCs/>
          <w:color w:val="1F497D"/>
          <w:sz w:val="24"/>
          <w:szCs w:val="24"/>
          <w:lang w:val="ru-RU" w:eastAsia="uk-UA"/>
        </w:rPr>
        <w:t>1.</w:t>
      </w:r>
      <w:r w:rsidRPr="006901DA">
        <w:rPr>
          <w:rFonts w:ascii="Times New Roman" w:eastAsia="Times New Roman" w:hAnsi="Times New Roman" w:cs="Times New Roman"/>
          <w:b/>
          <w:bCs/>
          <w:color w:val="1F497D"/>
          <w:sz w:val="16"/>
          <w:szCs w:val="16"/>
          <w:lang w:val="ru-RU" w:eastAsia="uk-UA"/>
        </w:rPr>
        <w:t>       </w:t>
      </w:r>
      <w:r w:rsidRPr="006901DA">
        <w:rPr>
          <w:rFonts w:ascii="Calibri" w:eastAsia="Times New Roman" w:hAnsi="Calibri" w:cs="Calibri"/>
          <w:b/>
          <w:bCs/>
          <w:color w:val="1F497D"/>
          <w:sz w:val="24"/>
          <w:szCs w:val="24"/>
          <w:lang w:val="ru-RU" w:eastAsia="uk-UA"/>
        </w:rPr>
        <w:t>Причины не использования сервисов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 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- Не достаточное информирование о возможностях сервиса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- Не достаточные объемы (так кажется на первый взгляд), например, для использования электронного документооборота  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- Инерционность (привыкли по старому)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- Необходимы ресурсы: время, деньги и т.д. для внедрения и изменения бизнес-процесса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- Страхи и привычки (например, электронный документооборот, правомерно ли юридически, что делать при проверке)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 </w:t>
      </w:r>
    </w:p>
    <w:p w:rsidR="006901DA" w:rsidRPr="006901DA" w:rsidRDefault="006901DA" w:rsidP="006901D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b/>
          <w:bCs/>
          <w:color w:val="1F497D"/>
          <w:sz w:val="24"/>
          <w:szCs w:val="24"/>
          <w:lang w:val="ru-RU" w:eastAsia="uk-UA"/>
        </w:rPr>
        <w:t>2.</w:t>
      </w:r>
      <w:r w:rsidRPr="006901DA">
        <w:rPr>
          <w:rFonts w:ascii="Times New Roman" w:eastAsia="Times New Roman" w:hAnsi="Times New Roman" w:cs="Times New Roman"/>
          <w:b/>
          <w:bCs/>
          <w:color w:val="1F497D"/>
          <w:sz w:val="16"/>
          <w:szCs w:val="16"/>
          <w:lang w:val="ru-RU" w:eastAsia="uk-UA"/>
        </w:rPr>
        <w:t>       </w:t>
      </w:r>
      <w:r w:rsidRPr="006901DA">
        <w:rPr>
          <w:rFonts w:ascii="Calibri" w:eastAsia="Times New Roman" w:hAnsi="Calibri" w:cs="Calibri"/>
          <w:b/>
          <w:bCs/>
          <w:color w:val="1F497D"/>
          <w:sz w:val="24"/>
          <w:szCs w:val="24"/>
          <w:lang w:val="ru-RU" w:eastAsia="uk-UA"/>
        </w:rPr>
        <w:t>Пример действующего партнерства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 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- Укргаздобыча, СатурнДейта, Нац</w:t>
      </w:r>
      <w:r w:rsidR="00585979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і</w:t>
      </w: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ональн</w:t>
      </w:r>
      <w:r w:rsidR="00585979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и</w:t>
      </w: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й университет пищевых технологий, Желдоравтоматика – эффективно используют СмартТендер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- Университеты и Шнайдер Электрик. Преподаватели университета дополнительно работают в Учебном центре вендера, получая доступ к современной элементной базе и практическим знаниям. Вендер устанавливает в университете стенды с оборудованием для студентов для эффективной практики и изучения передовых технологий на реальных примерах. Вин/Вин.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 </w:t>
      </w:r>
    </w:p>
    <w:p w:rsidR="006901DA" w:rsidRPr="006901DA" w:rsidRDefault="006901DA" w:rsidP="006901D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b/>
          <w:bCs/>
          <w:color w:val="1F497D"/>
          <w:sz w:val="24"/>
          <w:szCs w:val="24"/>
          <w:lang w:val="ru-RU" w:eastAsia="uk-UA"/>
        </w:rPr>
        <w:t>3.</w:t>
      </w:r>
      <w:r w:rsidRPr="006901DA">
        <w:rPr>
          <w:rFonts w:ascii="Times New Roman" w:eastAsia="Times New Roman" w:hAnsi="Times New Roman" w:cs="Times New Roman"/>
          <w:b/>
          <w:bCs/>
          <w:color w:val="1F497D"/>
          <w:sz w:val="16"/>
          <w:szCs w:val="16"/>
          <w:lang w:val="ru-RU" w:eastAsia="uk-UA"/>
        </w:rPr>
        <w:t>       </w:t>
      </w:r>
      <w:r w:rsidRPr="006901DA">
        <w:rPr>
          <w:rFonts w:ascii="Calibri" w:eastAsia="Times New Roman" w:hAnsi="Calibri" w:cs="Calibri"/>
          <w:b/>
          <w:bCs/>
          <w:color w:val="1F497D"/>
          <w:sz w:val="24"/>
          <w:szCs w:val="24"/>
          <w:lang w:val="ru-RU" w:eastAsia="uk-UA"/>
        </w:rPr>
        <w:t>Как улучшить шеринг сервисов среди участников АППАУ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 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- Интерактивный список возможностей. Кто какой сервис предлагает и как применить.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- Успешные кейсы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 xml:space="preserve">- Участие в Ивентах. Представление новых членов (что могут предложить, в чем экспертизы, чем могут быть полезны). Информирование новых членов, какие сервисы есть у сообщества </w:t>
      </w: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lastRenderedPageBreak/>
        <w:t>и как их использовать. Например, после последнего воркшопа Желдоравтоматика будет пробовать Электронный документооборот от СмартТендер.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- Телеграмм какнал (как один из каналов информирования и обсуждения возможностей)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- Отдельный ивент по Сервисам и их возможностям</w:t>
      </w:r>
    </w:p>
    <w:p w:rsidR="006901DA" w:rsidRPr="006901DA" w:rsidRDefault="006901DA" w:rsidP="0069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 w:eastAsia="uk-UA"/>
        </w:rPr>
      </w:pPr>
      <w:r w:rsidRPr="006901DA">
        <w:rPr>
          <w:rFonts w:ascii="Calibri" w:eastAsia="Times New Roman" w:hAnsi="Calibri" w:cs="Calibri"/>
          <w:color w:val="1F497D"/>
          <w:sz w:val="24"/>
          <w:szCs w:val="24"/>
          <w:lang w:val="ru-RU" w:eastAsia="uk-UA"/>
        </w:rPr>
        <w:t>- Начать использовать АППАУ, например, сервиса Электронный документооборот от СмартТендер (это добавил от себя)</w:t>
      </w:r>
    </w:p>
    <w:p w:rsidR="00040FDF" w:rsidRPr="00E82E8E" w:rsidRDefault="00040FDF" w:rsidP="00380428">
      <w:pPr>
        <w:rPr>
          <w:sz w:val="24"/>
          <w:szCs w:val="24"/>
          <w:lang w:val="ru-RU"/>
        </w:rPr>
      </w:pPr>
    </w:p>
    <w:p w:rsidR="00720DCE" w:rsidRPr="00E82E8E" w:rsidRDefault="00720DCE" w:rsidP="00380428">
      <w:pPr>
        <w:rPr>
          <w:sz w:val="24"/>
          <w:szCs w:val="24"/>
          <w:lang w:val="ru-RU"/>
        </w:rPr>
      </w:pPr>
    </w:p>
    <w:p w:rsidR="00720DCE" w:rsidRPr="00E82E8E" w:rsidRDefault="00720DCE" w:rsidP="00380428">
      <w:pPr>
        <w:rPr>
          <w:sz w:val="24"/>
          <w:szCs w:val="24"/>
          <w:lang w:val="ru-RU"/>
        </w:rPr>
      </w:pPr>
    </w:p>
    <w:p w:rsidR="006F0D96" w:rsidRPr="0075296E" w:rsidRDefault="006F0D96">
      <w:pPr>
        <w:rPr>
          <w:b/>
        </w:rPr>
      </w:pPr>
    </w:p>
    <w:sectPr w:rsidR="006F0D96" w:rsidRPr="007529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E03CC"/>
    <w:multiLevelType w:val="hybridMultilevel"/>
    <w:tmpl w:val="91BA2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44E0A"/>
    <w:multiLevelType w:val="hybridMultilevel"/>
    <w:tmpl w:val="1BF61D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B56B1"/>
    <w:multiLevelType w:val="hybridMultilevel"/>
    <w:tmpl w:val="283288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5F93"/>
    <w:multiLevelType w:val="hybridMultilevel"/>
    <w:tmpl w:val="B3B236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634DA"/>
    <w:multiLevelType w:val="hybridMultilevel"/>
    <w:tmpl w:val="91BA2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8710E"/>
    <w:multiLevelType w:val="hybridMultilevel"/>
    <w:tmpl w:val="91BA2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A68D6"/>
    <w:multiLevelType w:val="multilevel"/>
    <w:tmpl w:val="CCBA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937CC"/>
    <w:multiLevelType w:val="hybridMultilevel"/>
    <w:tmpl w:val="91BA2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D33A6"/>
    <w:multiLevelType w:val="hybridMultilevel"/>
    <w:tmpl w:val="91BA2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C6160"/>
    <w:multiLevelType w:val="hybridMultilevel"/>
    <w:tmpl w:val="91BA2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E443C"/>
    <w:multiLevelType w:val="hybridMultilevel"/>
    <w:tmpl w:val="91BA2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C447E"/>
    <w:multiLevelType w:val="hybridMultilevel"/>
    <w:tmpl w:val="A9AA9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9612C"/>
    <w:multiLevelType w:val="hybridMultilevel"/>
    <w:tmpl w:val="2FE0110C"/>
    <w:lvl w:ilvl="0" w:tplc="59CE942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70559"/>
    <w:multiLevelType w:val="hybridMultilevel"/>
    <w:tmpl w:val="AB207A58"/>
    <w:lvl w:ilvl="0" w:tplc="59CE942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3873"/>
    <w:multiLevelType w:val="hybridMultilevel"/>
    <w:tmpl w:val="91BA2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C2E0D"/>
    <w:multiLevelType w:val="hybridMultilevel"/>
    <w:tmpl w:val="91BA2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B06AB"/>
    <w:multiLevelType w:val="hybridMultilevel"/>
    <w:tmpl w:val="91BA2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16"/>
  </w:num>
  <w:num w:numId="10">
    <w:abstractNumId w:val="14"/>
  </w:num>
  <w:num w:numId="11">
    <w:abstractNumId w:val="9"/>
  </w:num>
  <w:num w:numId="12">
    <w:abstractNumId w:val="10"/>
  </w:num>
  <w:num w:numId="13">
    <w:abstractNumId w:val="15"/>
  </w:num>
  <w:num w:numId="14">
    <w:abstractNumId w:val="13"/>
  </w:num>
  <w:num w:numId="15">
    <w:abstractNumId w:val="1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40"/>
    <w:rsid w:val="00040FDF"/>
    <w:rsid w:val="00043F5D"/>
    <w:rsid w:val="00125A40"/>
    <w:rsid w:val="00186D3A"/>
    <w:rsid w:val="001A3963"/>
    <w:rsid w:val="001C300B"/>
    <w:rsid w:val="001C3F36"/>
    <w:rsid w:val="001C6785"/>
    <w:rsid w:val="001E3122"/>
    <w:rsid w:val="001E5F1C"/>
    <w:rsid w:val="001F442E"/>
    <w:rsid w:val="00380428"/>
    <w:rsid w:val="003A1649"/>
    <w:rsid w:val="003D5999"/>
    <w:rsid w:val="00433E22"/>
    <w:rsid w:val="0048218D"/>
    <w:rsid w:val="00483C88"/>
    <w:rsid w:val="004B4A0B"/>
    <w:rsid w:val="0052767D"/>
    <w:rsid w:val="00536540"/>
    <w:rsid w:val="00536E9A"/>
    <w:rsid w:val="0056590B"/>
    <w:rsid w:val="00585979"/>
    <w:rsid w:val="005F5EE0"/>
    <w:rsid w:val="005F773B"/>
    <w:rsid w:val="00667D05"/>
    <w:rsid w:val="006901DA"/>
    <w:rsid w:val="006F0D96"/>
    <w:rsid w:val="00720DCE"/>
    <w:rsid w:val="00727C1C"/>
    <w:rsid w:val="0075296E"/>
    <w:rsid w:val="00767EDF"/>
    <w:rsid w:val="007962FD"/>
    <w:rsid w:val="007D2DC6"/>
    <w:rsid w:val="007D336A"/>
    <w:rsid w:val="007D5C5A"/>
    <w:rsid w:val="007E3285"/>
    <w:rsid w:val="008D2F97"/>
    <w:rsid w:val="008E6A4A"/>
    <w:rsid w:val="009135D8"/>
    <w:rsid w:val="00AD441E"/>
    <w:rsid w:val="00B957DE"/>
    <w:rsid w:val="00BB2D8E"/>
    <w:rsid w:val="00BD753F"/>
    <w:rsid w:val="00C10D19"/>
    <w:rsid w:val="00C12AF0"/>
    <w:rsid w:val="00C321D9"/>
    <w:rsid w:val="00CB491A"/>
    <w:rsid w:val="00D1068D"/>
    <w:rsid w:val="00D3554C"/>
    <w:rsid w:val="00D77561"/>
    <w:rsid w:val="00E11628"/>
    <w:rsid w:val="00E82E8E"/>
    <w:rsid w:val="00EB0DB8"/>
    <w:rsid w:val="00EC4BDA"/>
    <w:rsid w:val="00EF1216"/>
    <w:rsid w:val="00F845DC"/>
    <w:rsid w:val="00F9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FB0C"/>
  <w15:chartTrackingRefBased/>
  <w15:docId w15:val="{FE1EF6B4-C2D9-42EC-98D5-22A3C4BB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21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218D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9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4412288180188081505msolistparagraph">
    <w:name w:val="m_4412288180188081505msolistparagraph"/>
    <w:basedOn w:val="a"/>
    <w:rsid w:val="0069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au.org.ua/publications/4-0-yak-obraz-kompaniyi-novogo-typu-pro-sheryngovi-mode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utic.appau.org.ua/asset/125:concept-of-ua-presentation-on-hmidocx" TargetMode="External"/><Relationship Id="rId5" Type="http://schemas.openxmlformats.org/officeDocument/2006/relationships/hyperlink" Target="https://www.epravda.com.ua/news/2020/01/22/656131/?fbclid=IwAR3nogYE6Zyh_OmYAoNW6TjqvuvsA3RHco2mJ5eXv61YGhTNZwaIQBExBU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9619</Words>
  <Characters>5483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Yurchak</dc:creator>
  <cp:keywords/>
  <dc:description/>
  <cp:lastModifiedBy>Alexandre Yurchak</cp:lastModifiedBy>
  <cp:revision>5</cp:revision>
  <dcterms:created xsi:type="dcterms:W3CDTF">2020-01-29T02:22:00Z</dcterms:created>
  <dcterms:modified xsi:type="dcterms:W3CDTF">2020-01-29T02:53:00Z</dcterms:modified>
</cp:coreProperties>
</file>