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360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Київський Академічний Університет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60"/>
        <w:jc w:val="center"/>
        <w:rPr>
          <w:rFonts w:ascii="Verdana" w:cs="Verdana" w:eastAsia="Verdana" w:hAnsi="Verdana"/>
          <w:color w:val="1155cc"/>
          <w:sz w:val="20"/>
          <w:szCs w:val="20"/>
          <w:u w:val="single"/>
        </w:rPr>
      </w:pP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Українська технологічна платформа «Нові матеріали та перспективні технології виробництва»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360"/>
        <w:jc w:val="center"/>
        <w:rPr>
          <w:rFonts w:ascii="Verdana" w:cs="Verdana" w:eastAsia="Verdana" w:hAnsi="Verdana"/>
          <w:sz w:val="20"/>
          <w:szCs w:val="20"/>
        </w:rPr>
      </w:pP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Асоціація Підприємств Промислової Автоматизації України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360"/>
        <w:jc w:val="center"/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(проект від 03.10.2019)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360"/>
        <w:jc w:val="center"/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Нетворкінг-сесія КАУ\</w:t>
      </w: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Open Innovation Meetup KAU</w:t>
      </w:r>
    </w:p>
    <w:p w:rsidR="00000000" w:rsidDel="00000000" w:rsidP="00000000" w:rsidRDefault="00000000" w:rsidRPr="00000000" w14:paraId="00000006">
      <w:pPr>
        <w:ind w:firstLine="360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"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Інноваційні рішення в матеріалознавстві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"</w:t>
      </w:r>
    </w:p>
    <w:p w:rsidR="00000000" w:rsidDel="00000000" w:rsidP="00000000" w:rsidRDefault="00000000" w:rsidRPr="00000000" w14:paraId="00000007">
      <w:pPr>
        <w:ind w:firstLine="360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В рамках конференції</w:t>
      </w:r>
    </w:p>
    <w:p w:rsidR="00000000" w:rsidDel="00000000" w:rsidP="00000000" w:rsidRDefault="00000000" w:rsidRPr="00000000" w14:paraId="00000008">
      <w:pPr>
        <w:ind w:firstLine="360"/>
        <w:jc w:val="center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"German-Ukrainian Technology Transfer Partnership Conference"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360"/>
        <w:jc w:val="center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Місце проведення: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м. Київ, бульвар Академіка Вернадського, 36 (</w:t>
      </w:r>
      <w:hyperlink r:id="rId8">
        <w:r w:rsidDel="00000000" w:rsidR="00000000" w:rsidRPr="00000000">
          <w:rPr>
            <w:rFonts w:ascii="Georgia" w:cs="Georgia" w:eastAsia="Georgia" w:hAnsi="Georgia"/>
            <w:color w:val="1155cc"/>
            <w:sz w:val="20"/>
            <w:szCs w:val="20"/>
            <w:u w:val="single"/>
            <w:rtl w:val="0"/>
          </w:rPr>
          <w:t xml:space="preserve">Інститут металофізики ім. Г.В. Курдюмова НАН України</w:t>
        </w:r>
      </w:hyperlink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) 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center"/>
        <w:rPr>
          <w:rFonts w:ascii="Georgia" w:cs="Georgia" w:eastAsia="Georgia" w:hAnsi="Georgia"/>
          <w:b w:val="1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ПРОГРАМА </w:t>
      </w:r>
      <w:r w:rsidDel="00000000" w:rsidR="00000000" w:rsidRPr="00000000">
        <w:rPr>
          <w:rtl w:val="0"/>
        </w:rPr>
      </w:r>
    </w:p>
    <w:tbl>
      <w:tblPr>
        <w:tblStyle w:val="Table1"/>
        <w:tblW w:w="1062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65"/>
        <w:gridCol w:w="810"/>
        <w:gridCol w:w="8445"/>
        <w:tblGridChange w:id="0">
          <w:tblGrid>
            <w:gridCol w:w="1365"/>
            <w:gridCol w:w="810"/>
            <w:gridCol w:w="8445"/>
          </w:tblGrid>
        </w:tblGridChange>
      </w:tblGrid>
      <w:tr>
        <w:trPr>
          <w:trHeight w:val="40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10 жовтня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Круглий стіл: «</w:t>
            </w:r>
            <w:hyperlink r:id="rId9">
              <w:r w:rsidDel="00000000" w:rsidR="00000000" w:rsidRPr="00000000">
                <w:rPr>
                  <w:rFonts w:ascii="Georgia" w:cs="Georgia" w:eastAsia="Georgia" w:hAnsi="Georgia"/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Трансфер технологій: можливості співпраці науки та бізнесу</w:t>
              </w:r>
            </w:hyperlink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»</w:t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11 жовтня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MeetUp “Інноваційні рішення в матеріалознавстві”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8:45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Реєстрація. Ранкова кава.</w:t>
            </w:r>
          </w:p>
        </w:tc>
      </w:tr>
      <w:t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9:00 - 9:15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Відкриття заходу. Привітання від організаторів.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Д-р Віталій Бевз, заступник директора Інституту металофізики ім. Г. В. Курдюмова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Олександра Антонюк, Інноваційний центр Київського академічного університету</w:t>
            </w:r>
          </w:p>
        </w:tc>
      </w:tr>
      <w:t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9:15 - 10:00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Інноваційні рішення в матеріалознавстві: потреба бізнесу в нових матеріалах та основні сфери пошуку інновацій.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Олександр Юрчак, генеральний директор Асоціації промислової автоматизації України: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color w:val="000000"/>
                <w:sz w:val="20"/>
                <w:szCs w:val="20"/>
                <w:rtl w:val="0"/>
              </w:rPr>
              <w:t xml:space="preserve">Сучасні тренди, пов’язані із цифровізацією та впровадженням в Україні концепції “Індустрія 4.0”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Style w:val="Heading3"/>
              <w:keepNext w:val="0"/>
              <w:keepLines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312" w:lineRule="auto"/>
              <w:jc w:val="both"/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bookmarkStart w:colFirst="0" w:colLast="0" w:name="_92pl6y2qpuer" w:id="0"/>
            <w:bookmarkEnd w:id="0"/>
            <w:r w:rsidDel="00000000" w:rsidR="00000000" w:rsidRPr="00000000">
              <w:rPr>
                <w:rFonts w:ascii="Georgia" w:cs="Georgia" w:eastAsia="Georgia" w:hAnsi="Georgia"/>
                <w:color w:val="000000"/>
                <w:sz w:val="20"/>
                <w:szCs w:val="20"/>
                <w:rtl w:val="0"/>
              </w:rPr>
              <w:t xml:space="preserve">МЕТІНВЕСТ ДІДЖИТАЛ (tbc) :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color w:val="000000"/>
                <w:sz w:val="20"/>
                <w:szCs w:val="20"/>
                <w:rtl w:val="0"/>
              </w:rPr>
              <w:t xml:space="preserve">Напрямки та підходи до цифровізації в МЕТІНВЕСТ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Кирило Макаров, Директор департаменту трансформації бізнес-процесів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ООО "МЕТІНВЕСТ ХОЛДИНГ" (tbc):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sz w:val="20"/>
                <w:szCs w:val="20"/>
                <w:rtl w:val="0"/>
              </w:rPr>
              <w:t xml:space="preserve">Модель інноваційної співпраці з МЕТІНВЕСТ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Ірина Білан, НКП програми «Horizon 2020» за напрямком “Наноматеріали, перспективні матеріали і технології їх отримання, біоматеріали”: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sz w:val="20"/>
                <w:szCs w:val="20"/>
                <w:rtl w:val="0"/>
              </w:rPr>
              <w:t xml:space="preserve">Пріоритети програми </w:t>
            </w: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«Horizon 2020»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sz w:val="20"/>
                <w:szCs w:val="20"/>
                <w:rtl w:val="0"/>
              </w:rPr>
              <w:t xml:space="preserve">з розвитку інновацій в матеріалознавстві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Проф. Д-р Василь Назаренко, Інститут фізики НАНУ, радник в LG (tbc):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sz w:val="20"/>
                <w:szCs w:val="20"/>
                <w:rtl w:val="0"/>
              </w:rPr>
              <w:t xml:space="preserve">Потреби в нових матеріалах в LG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10:00 - 14:15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Презентації інноваційних рішень (Сесія коротких презентацій розробок):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10:00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Інновації в металургії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Розробки інститутів: ІЕЗ ім. Є.О. Патона НАНУ, ІЧМ ім. З.І. Некрасова НАНУ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0"/>
                <w:szCs w:val="20"/>
                <w:rtl w:val="0"/>
              </w:rPr>
              <w:t xml:space="preserve">Інститут проблем матеріалознавства ім. І.М.Францевича НАН України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11:45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Нові матеріали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left="0" w:firstLine="0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Ірина Білан, представник Української національної технологічної платформи з сучасних матеріалів</w:t>
            </w:r>
          </w:p>
          <w:p w:rsidR="00000000" w:rsidDel="00000000" w:rsidP="00000000" w:rsidRDefault="00000000" w:rsidRPr="00000000" w14:paraId="00000032">
            <w:pPr>
              <w:ind w:left="0" w:firstLine="0"/>
              <w:jc w:val="left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sz w:val="20"/>
                <w:szCs w:val="20"/>
                <w:rtl w:val="0"/>
              </w:rPr>
              <w:t xml:space="preserve">Огляд розробок технологічної платформи НАН України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12:45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Технології 3D-друку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Інститут металофізики НАНУ та ТОВ Мелта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Інститут електродинаміки НАНУ</w:t>
              <w:br w:type="textWrapping"/>
              <w:t xml:space="preserve">ІЕЗ ім. Є.О. Патона НАНУ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Червона хвиля (tbc)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Інститут</w:t>
            </w: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 Проблем Матеріалознавства ім. І.М.</w:t>
            </w: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Францевича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ДТЕК (tbc)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КБ Південне (tbc)</w:t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Fab lab (tbc)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BT2i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13:45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Коментарі, обговорення, додаткові презентації розробок учасників</w:t>
            </w:r>
          </w:p>
        </w:tc>
      </w:tr>
      <w:t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14:15 - 15:00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Networking &amp; team-building &amp; coffee</w:t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12 жовтня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Конференція молодих вчених </w:t>
            </w:r>
          </w:p>
        </w:tc>
      </w:tr>
    </w:tbl>
    <w:p w:rsidR="00000000" w:rsidDel="00000000" w:rsidP="00000000" w:rsidRDefault="00000000" w:rsidRPr="00000000" w14:paraId="0000004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/>
      <w:pgMar w:bottom="270" w:top="180" w:left="810" w:right="810" w:header="144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tabs>
        <w:tab w:val="center" w:pos="4677"/>
        <w:tab w:val="right" w:pos="9355"/>
      </w:tabs>
      <w:spacing w:line="240" w:lineRule="auto"/>
      <w:rPr/>
    </w:pPr>
    <w:r w:rsidDel="00000000" w:rsidR="00000000" w:rsidRPr="00000000">
      <w:rPr>
        <w:rFonts w:ascii="Georgia" w:cs="Georgia" w:eastAsia="Georgia" w:hAnsi="Georgia"/>
        <w:rtl w:val="0"/>
      </w:rPr>
      <w:t xml:space="preserve">                 </w:t>
    </w:r>
    <w:r w:rsidDel="00000000" w:rsidR="00000000" w:rsidRPr="00000000">
      <w:rPr>
        <w:rFonts w:ascii="Georgia" w:cs="Georgia" w:eastAsia="Georgia" w:hAnsi="Georgia"/>
      </w:rPr>
      <w:drawing>
        <wp:inline distB="114300" distT="114300" distL="114300" distR="114300">
          <wp:extent cx="1151255" cy="1076325"/>
          <wp:effectExtent b="0" l="0" r="0" t="0"/>
          <wp:docPr id="2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1255" cy="1076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Georgia" w:cs="Georgia" w:eastAsia="Georgia" w:hAnsi="Georgia"/>
      </w:rPr>
      <w:drawing>
        <wp:inline distB="114300" distT="114300" distL="114300" distR="114300">
          <wp:extent cx="1352550" cy="1009650"/>
          <wp:effectExtent b="0" l="0" r="0" t="0"/>
          <wp:docPr id="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2550" cy="1009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Georgia" w:cs="Georgia" w:eastAsia="Georgia" w:hAnsi="Georgia"/>
        <w:rtl w:val="0"/>
      </w:rPr>
      <w:t xml:space="preserve">    </w:t>
    </w:r>
    <w:r w:rsidDel="00000000" w:rsidR="00000000" w:rsidRPr="00000000">
      <w:rPr>
        <w:rFonts w:ascii="Georgia" w:cs="Georgia" w:eastAsia="Georgia" w:hAnsi="Georgia"/>
      </w:rPr>
      <w:drawing>
        <wp:inline distB="114300" distT="114300" distL="114300" distR="114300">
          <wp:extent cx="1276350" cy="10096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6350" cy="1009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Georgia" w:cs="Georgia" w:eastAsia="Georgia" w:hAnsi="Georgia"/>
      </w:rPr>
      <w:drawing>
        <wp:inline distB="114300" distT="114300" distL="114300" distR="114300">
          <wp:extent cx="1019175" cy="1019175"/>
          <wp:effectExtent b="0" l="0" r="0" t="0"/>
          <wp:docPr id="3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Georgia" w:cs="Georgia" w:eastAsia="Georgia" w:hAnsi="Georgia"/>
      </w:rPr>
      <w:drawing>
        <wp:inline distB="114300" distT="114300" distL="114300" distR="114300">
          <wp:extent cx="952500" cy="1009650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2500" cy="1009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Georgia" w:cs="Georgia" w:eastAsia="Georgia" w:hAnsi="Georgia"/>
      </w:rPr>
      <w:drawing>
        <wp:inline distB="114300" distT="114300" distL="114300" distR="114300">
          <wp:extent cx="1749108" cy="600184"/>
          <wp:effectExtent b="0" l="0" r="0" t="0"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9108" cy="6001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Georgia" w:cs="Georgia" w:eastAsia="Georgia" w:hAnsi="Georgia"/>
      </w:rPr>
      <w:drawing>
        <wp:inline distB="114300" distT="114300" distL="114300" distR="114300">
          <wp:extent cx="2857500" cy="504825"/>
          <wp:effectExtent b="0" l="0" r="0" t="0"/>
          <wp:docPr id="7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57500" cy="5048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Georgia" w:cs="Georgia" w:eastAsia="Georgia" w:hAnsi="Georgia"/>
        <w:rtl w:val="0"/>
      </w:rPr>
      <w:t xml:space="preserve">   </w:t>
    </w:r>
    <w:r w:rsidDel="00000000" w:rsidR="00000000" w:rsidRPr="00000000">
      <w:rPr>
        <w:rFonts w:ascii="Georgia" w:cs="Georgia" w:eastAsia="Georgia" w:hAnsi="Georgia"/>
      </w:rPr>
      <w:drawing>
        <wp:inline distB="114300" distT="114300" distL="114300" distR="114300">
          <wp:extent cx="1134745" cy="389539"/>
          <wp:effectExtent b="0" l="0" r="0" t="0"/>
          <wp:docPr id="4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8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4745" cy="38953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ind w:left="0" w:firstLine="0"/>
      <w:jc w:val="left"/>
      <w:rPr/>
    </w:pPr>
    <w:r w:rsidDel="00000000" w:rsidR="00000000" w:rsidRPr="00000000">
      <w:rPr>
        <w:rFonts w:ascii="Georgia" w:cs="Georgia" w:eastAsia="Georgia" w:hAnsi="Georgia"/>
        <w:sz w:val="20"/>
        <w:szCs w:val="20"/>
        <w:rtl w:val="0"/>
      </w:rPr>
      <w:t xml:space="preserve">       </w:t>
    </w:r>
    <w:r w:rsidDel="00000000" w:rsidR="00000000" w:rsidRPr="00000000">
      <w:rPr>
        <w:rFonts w:ascii="Georgia" w:cs="Georgia" w:eastAsia="Georgia" w:hAnsi="Georgia"/>
        <w:b w:val="1"/>
        <w:sz w:val="26"/>
        <w:szCs w:val="26"/>
      </w:rPr>
      <w:drawing>
        <wp:inline distB="114300" distT="114300" distL="114300" distR="114300">
          <wp:extent cx="6303645" cy="1968500"/>
          <wp:effectExtent b="0" l="0" r="0" t="0"/>
          <wp:docPr id="8" name="image9.png"/>
          <a:graphic>
            <a:graphicData uri="http://schemas.openxmlformats.org/drawingml/2006/picture">
              <pic:pic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3645" cy="196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sites.google.com/view/guttup/conference?authuser=0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materials.kiev.ua/sait_platforma/Ass.html" TargetMode="External"/><Relationship Id="rId7" Type="http://schemas.openxmlformats.org/officeDocument/2006/relationships/hyperlink" Target="https://appau.org.ua/" TargetMode="External"/><Relationship Id="rId8" Type="http://schemas.openxmlformats.org/officeDocument/2006/relationships/hyperlink" Target="https://www.imp.kiev.ua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4.png"/><Relationship Id="rId3" Type="http://schemas.openxmlformats.org/officeDocument/2006/relationships/image" Target="media/image1.png"/><Relationship Id="rId4" Type="http://schemas.openxmlformats.org/officeDocument/2006/relationships/image" Target="media/image5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7.png"/><Relationship Id="rId8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